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97" w:rsidRPr="00092F97" w:rsidRDefault="00092F97" w:rsidP="00092F97">
      <w:pPr>
        <w:widowControl w:val="0"/>
        <w:spacing w:after="0" w:line="240" w:lineRule="auto"/>
        <w:jc w:val="center"/>
        <w:outlineLvl w:val="0"/>
        <w:rPr>
          <w:rFonts w:ascii="Times New Roman" w:eastAsia="Times New Roman" w:hAnsi="Times New Roman" w:cs="Times New Roman"/>
          <w:b/>
          <w:szCs w:val="20"/>
          <w:lang w:val="lt-LT" w:eastAsia="sl-SI"/>
        </w:rPr>
      </w:pPr>
      <w:bookmarkStart w:id="0" w:name="_GoBack"/>
      <w:bookmarkEnd w:id="0"/>
      <w:r w:rsidRPr="00092F97">
        <w:rPr>
          <w:rFonts w:ascii="Times New Roman" w:eastAsia="Times New Roman" w:hAnsi="Times New Roman" w:cs="Times New Roman"/>
          <w:b/>
          <w:szCs w:val="20"/>
          <w:lang w:val="lt-LT" w:eastAsia="sl-SI"/>
        </w:rPr>
        <w:t>Pakuotės lapelis: informacija pacientui</w:t>
      </w:r>
    </w:p>
    <w:p w:rsidR="00092F97" w:rsidRPr="00092F97" w:rsidRDefault="00092F97" w:rsidP="00092F97">
      <w:pPr>
        <w:widowControl w:val="0"/>
        <w:spacing w:after="0" w:line="240" w:lineRule="auto"/>
        <w:jc w:val="center"/>
        <w:outlineLvl w:val="0"/>
        <w:rPr>
          <w:rFonts w:ascii="Times New Roman" w:eastAsia="Times New Roman" w:hAnsi="Times New Roman" w:cs="Times New Roman"/>
          <w:b/>
          <w:szCs w:val="20"/>
          <w:lang w:val="lt-LT" w:eastAsia="sl-SI"/>
        </w:rPr>
      </w:pPr>
    </w:p>
    <w:p w:rsidR="00092F97" w:rsidRPr="00092F97" w:rsidRDefault="00092F97" w:rsidP="00092F97">
      <w:pPr>
        <w:widowControl w:val="0"/>
        <w:numPr>
          <w:ilvl w:val="12"/>
          <w:numId w:val="0"/>
        </w:numPr>
        <w:spacing w:after="0" w:line="240" w:lineRule="auto"/>
        <w:jc w:val="center"/>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Betaklav 500 mg/125 mg plėvele dengtos tabletės</w:t>
      </w:r>
    </w:p>
    <w:p w:rsidR="00092F97" w:rsidRPr="00092F97" w:rsidRDefault="00092F97" w:rsidP="00092F97">
      <w:pPr>
        <w:widowControl w:val="0"/>
        <w:numPr>
          <w:ilvl w:val="12"/>
          <w:numId w:val="0"/>
        </w:numPr>
        <w:spacing w:after="0" w:line="240" w:lineRule="auto"/>
        <w:jc w:val="center"/>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highlight w:val="lightGray"/>
          <w:lang w:val="lt-LT" w:eastAsia="sl-SI"/>
        </w:rPr>
        <w:t>Betaklav 875 mg/125 mg plėvele dengtos tabletės</w:t>
      </w:r>
    </w:p>
    <w:p w:rsidR="00092F97" w:rsidRPr="00092F97" w:rsidRDefault="00092F97" w:rsidP="00092F97">
      <w:pPr>
        <w:widowControl w:val="0"/>
        <w:numPr>
          <w:ilvl w:val="12"/>
          <w:numId w:val="0"/>
        </w:numPr>
        <w:spacing w:after="0" w:line="240" w:lineRule="auto"/>
        <w:jc w:val="center"/>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Amoksicilinas ir klavulano rūgštis</w:t>
      </w:r>
    </w:p>
    <w:p w:rsidR="00092F97" w:rsidRPr="00092F97" w:rsidRDefault="00092F97" w:rsidP="00092F97">
      <w:pPr>
        <w:widowControl w:val="0"/>
        <w:spacing w:after="0" w:line="240" w:lineRule="auto"/>
        <w:jc w:val="center"/>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Atidžiai perskaitykite visą šį lapelį, prieš pradėdami vartoti vaistą, nes jame pateikiama Jums svarbi informacija.</w:t>
      </w:r>
    </w:p>
    <w:p w:rsidR="00092F97" w:rsidRPr="00092F97" w:rsidRDefault="00092F97" w:rsidP="00092F97">
      <w:pPr>
        <w:widowControl w:val="0"/>
        <w:numPr>
          <w:ilvl w:val="0"/>
          <w:numId w:val="1"/>
        </w:numPr>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Neišmeskite šio lapelio, nes vėl gali prireikti jį perskaityti.</w:t>
      </w:r>
    </w:p>
    <w:p w:rsidR="00092F97" w:rsidRPr="00092F97" w:rsidRDefault="00092F97" w:rsidP="00092F97">
      <w:pPr>
        <w:widowControl w:val="0"/>
        <w:numPr>
          <w:ilvl w:val="0"/>
          <w:numId w:val="1"/>
        </w:numPr>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kiltų daugiau klausimų, kreipkitės į gydytoją arba vaistininką.</w:t>
      </w:r>
    </w:p>
    <w:p w:rsidR="00092F97" w:rsidRPr="00092F97" w:rsidRDefault="00092F97" w:rsidP="00092F97">
      <w:pPr>
        <w:widowControl w:val="0"/>
        <w:numPr>
          <w:ilvl w:val="0"/>
          <w:numId w:val="1"/>
        </w:numPr>
        <w:tabs>
          <w:tab w:val="left" w:pos="567"/>
        </w:tabs>
        <w:spacing w:after="0" w:line="260" w:lineRule="exact"/>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Šis vaistas skirtas tik Jums, todėl kitiems žmonėms jo duoti negalima. Vaistas gali jiems pakenkti (net tiems, kurių ligos požymiai yra tokie patys kaip Jūsų).</w:t>
      </w:r>
    </w:p>
    <w:p w:rsidR="00092F97" w:rsidRPr="00092F97" w:rsidRDefault="00092F97" w:rsidP="00092F97">
      <w:pPr>
        <w:widowControl w:val="0"/>
        <w:numPr>
          <w:ilvl w:val="0"/>
          <w:numId w:val="1"/>
        </w:numPr>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pasireiškė šalutinis poveikis (net jeigu jis šiame lapelyje nenurodytas), kreipkitės į gydytoją arba vaistininką. Žr. 4 skyrių.</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ind w:left="567" w:hanging="567"/>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Apie ką rašoma šiame lapelyje?</w:t>
      </w:r>
    </w:p>
    <w:p w:rsidR="00092F97" w:rsidRPr="00092F97" w:rsidRDefault="00092F97" w:rsidP="00092F97">
      <w:pPr>
        <w:widowControl w:val="0"/>
        <w:spacing w:after="0" w:line="240" w:lineRule="auto"/>
        <w:ind w:left="567" w:hanging="567"/>
        <w:rPr>
          <w:rFonts w:ascii="Times New Roman" w:eastAsia="Times New Roman" w:hAnsi="Times New Roman" w:cs="Times New Roman"/>
          <w:b/>
          <w:szCs w:val="20"/>
          <w:lang w:val="lt-LT" w:eastAsia="sl-SI"/>
        </w:rPr>
      </w:pPr>
    </w:p>
    <w:p w:rsidR="00092F97" w:rsidRPr="00092F97" w:rsidRDefault="00092F97" w:rsidP="00092F97">
      <w:pPr>
        <w:widowControl w:val="0"/>
        <w:spacing w:after="0" w:line="240" w:lineRule="auto"/>
        <w:ind w:left="567" w:hanging="567"/>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1.</w:t>
      </w:r>
      <w:r w:rsidRPr="00092F97">
        <w:rPr>
          <w:rFonts w:ascii="Times New Roman" w:eastAsia="Times New Roman" w:hAnsi="Times New Roman" w:cs="Times New Roman"/>
          <w:szCs w:val="20"/>
          <w:lang w:val="lt-LT" w:eastAsia="sl-SI"/>
        </w:rPr>
        <w:tab/>
        <w:t>Kas yra Betaklav ir kam jis vartojamas</w:t>
      </w:r>
    </w:p>
    <w:p w:rsidR="00092F97" w:rsidRPr="00092F97" w:rsidRDefault="00092F97" w:rsidP="00092F97">
      <w:pPr>
        <w:widowControl w:val="0"/>
        <w:spacing w:after="0" w:line="240" w:lineRule="auto"/>
        <w:ind w:left="567" w:hanging="567"/>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2.</w:t>
      </w:r>
      <w:r w:rsidRPr="00092F97">
        <w:rPr>
          <w:rFonts w:ascii="Times New Roman" w:eastAsia="Times New Roman" w:hAnsi="Times New Roman" w:cs="Times New Roman"/>
          <w:szCs w:val="20"/>
          <w:lang w:val="lt-LT" w:eastAsia="sl-SI"/>
        </w:rPr>
        <w:tab/>
        <w:t>Kas žinotina prieš vartojant Betaklav</w:t>
      </w:r>
    </w:p>
    <w:p w:rsidR="00092F97" w:rsidRPr="00092F97" w:rsidRDefault="00092F97" w:rsidP="00092F97">
      <w:pPr>
        <w:widowControl w:val="0"/>
        <w:spacing w:after="0" w:line="240" w:lineRule="auto"/>
        <w:ind w:left="567" w:hanging="567"/>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3.</w:t>
      </w:r>
      <w:r w:rsidRPr="00092F97">
        <w:rPr>
          <w:rFonts w:ascii="Times New Roman" w:eastAsia="Times New Roman" w:hAnsi="Times New Roman" w:cs="Times New Roman"/>
          <w:szCs w:val="20"/>
          <w:lang w:val="lt-LT" w:eastAsia="sl-SI"/>
        </w:rPr>
        <w:tab/>
        <w:t>Kaip vartoti Betaklav</w:t>
      </w:r>
    </w:p>
    <w:p w:rsidR="00092F97" w:rsidRPr="00092F97" w:rsidRDefault="00092F97" w:rsidP="00092F97">
      <w:pPr>
        <w:widowControl w:val="0"/>
        <w:spacing w:after="0" w:line="240" w:lineRule="auto"/>
        <w:ind w:left="567" w:hanging="567"/>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4.</w:t>
      </w:r>
      <w:r w:rsidRPr="00092F97">
        <w:rPr>
          <w:rFonts w:ascii="Times New Roman" w:eastAsia="Times New Roman" w:hAnsi="Times New Roman" w:cs="Times New Roman"/>
          <w:szCs w:val="20"/>
          <w:lang w:val="lt-LT" w:eastAsia="sl-SI"/>
        </w:rPr>
        <w:tab/>
        <w:t>Galimas šalutinis poveikis</w:t>
      </w:r>
    </w:p>
    <w:p w:rsidR="00092F97" w:rsidRPr="00092F97" w:rsidRDefault="00092F97" w:rsidP="00092F97">
      <w:pPr>
        <w:widowControl w:val="0"/>
        <w:spacing w:after="0" w:line="240" w:lineRule="auto"/>
        <w:ind w:left="567" w:hanging="567"/>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5.</w:t>
      </w:r>
      <w:r w:rsidRPr="00092F97">
        <w:rPr>
          <w:rFonts w:ascii="Times New Roman" w:eastAsia="Times New Roman" w:hAnsi="Times New Roman" w:cs="Times New Roman"/>
          <w:szCs w:val="20"/>
          <w:lang w:val="lt-LT" w:eastAsia="sl-SI"/>
        </w:rPr>
        <w:tab/>
        <w:t>Kaip laikyti Betaklav</w:t>
      </w:r>
    </w:p>
    <w:p w:rsidR="00092F97" w:rsidRPr="00092F97" w:rsidRDefault="00092F97" w:rsidP="00092F97">
      <w:pPr>
        <w:widowControl w:val="0"/>
        <w:spacing w:after="0" w:line="240" w:lineRule="auto"/>
        <w:ind w:left="567" w:hanging="567"/>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6.</w:t>
      </w:r>
      <w:r w:rsidRPr="00092F97">
        <w:rPr>
          <w:rFonts w:ascii="Times New Roman" w:eastAsia="Times New Roman" w:hAnsi="Times New Roman" w:cs="Times New Roman"/>
          <w:szCs w:val="20"/>
          <w:lang w:val="lt-LT" w:eastAsia="sl-SI"/>
        </w:rPr>
        <w:tab/>
        <w:t>Pakuotės turinys ir kita informacija</w:t>
      </w: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spacing w:after="0" w:line="260" w:lineRule="exact"/>
        <w:ind w:left="567" w:right="-2" w:hanging="567"/>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1.</w:t>
      </w:r>
      <w:r w:rsidRPr="00092F97">
        <w:rPr>
          <w:rFonts w:ascii="Times New Roman" w:eastAsia="Times New Roman" w:hAnsi="Times New Roman" w:cs="Times New Roman"/>
          <w:b/>
          <w:szCs w:val="20"/>
          <w:lang w:val="lt-LT" w:eastAsia="sl-SI"/>
        </w:rPr>
        <w:tab/>
        <w:t>Kas yra Betaklav ir kam jis vartojamas</w:t>
      </w: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b/>
          <w:szCs w:val="20"/>
          <w:lang w:val="lt-LT" w:eastAsia="sl-SI"/>
        </w:rPr>
      </w:pP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Betaklav yra antibiotikas, kuris naikina infekcines ligas sukeliančias bakterijas. Vaisto sudėtyje yra dviejų skirtingų veikliųjų medžiagų, vadinamų amoksicilinu ir klavulano rūgštimi. Amoksicilinas priklauso vaistų, vadinamų penicilinais, grupei. Kartais šis vaistas gali neveikti (tapti neveiksmingu). Kita veiklioji medžiaga (klavulano rūgštis) neleidžia taip atsitikti.</w:t>
      </w: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Betaklav gydomos išvardytos suaugusiųjų ir vaikų infekcinės ligos:</w:t>
      </w:r>
    </w:p>
    <w:p w:rsidR="00092F97" w:rsidRPr="00092F97" w:rsidRDefault="00092F97" w:rsidP="00092F97">
      <w:pPr>
        <w:widowControl w:val="0"/>
        <w:spacing w:after="0" w:line="240" w:lineRule="auto"/>
        <w:ind w:left="540" w:hanging="540"/>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w:t>
      </w:r>
      <w:r w:rsidRPr="00092F97">
        <w:rPr>
          <w:rFonts w:ascii="Times New Roman" w:eastAsia="Times New Roman" w:hAnsi="Times New Roman" w:cs="Times New Roman"/>
          <w:szCs w:val="20"/>
          <w:lang w:val="lt-LT" w:eastAsia="sl-SI"/>
        </w:rPr>
        <w:tab/>
        <w:t>vidurinės ausies ir ančių infekcinės ligos;</w:t>
      </w:r>
    </w:p>
    <w:p w:rsidR="00092F97" w:rsidRPr="00092F97" w:rsidRDefault="00092F97" w:rsidP="00092F97">
      <w:pPr>
        <w:widowControl w:val="0"/>
        <w:spacing w:after="0" w:line="240" w:lineRule="auto"/>
        <w:ind w:left="540" w:hanging="540"/>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w:t>
      </w:r>
      <w:r w:rsidRPr="00092F97">
        <w:rPr>
          <w:rFonts w:ascii="Times New Roman" w:eastAsia="Times New Roman" w:hAnsi="Times New Roman" w:cs="Times New Roman"/>
          <w:szCs w:val="20"/>
          <w:lang w:val="lt-LT" w:eastAsia="sl-SI"/>
        </w:rPr>
        <w:tab/>
        <w:t>kvėpavimo takų infekcinės ligos;</w:t>
      </w:r>
    </w:p>
    <w:p w:rsidR="00092F97" w:rsidRPr="00092F97" w:rsidRDefault="00092F97" w:rsidP="00092F97">
      <w:pPr>
        <w:widowControl w:val="0"/>
        <w:spacing w:after="0" w:line="240" w:lineRule="auto"/>
        <w:ind w:left="540" w:hanging="540"/>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w:t>
      </w:r>
      <w:r w:rsidRPr="00092F97">
        <w:rPr>
          <w:rFonts w:ascii="Times New Roman" w:eastAsia="Times New Roman" w:hAnsi="Times New Roman" w:cs="Times New Roman"/>
          <w:szCs w:val="20"/>
          <w:lang w:val="lt-LT" w:eastAsia="sl-SI"/>
        </w:rPr>
        <w:tab/>
        <w:t>šlapimo takų infekcinės ligos;</w:t>
      </w:r>
    </w:p>
    <w:p w:rsidR="00092F97" w:rsidRPr="00092F97" w:rsidRDefault="00092F97" w:rsidP="00092F97">
      <w:pPr>
        <w:widowControl w:val="0"/>
        <w:spacing w:after="0" w:line="240" w:lineRule="auto"/>
        <w:ind w:left="540" w:hanging="540"/>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w:t>
      </w:r>
      <w:r w:rsidRPr="00092F97">
        <w:rPr>
          <w:rFonts w:ascii="Times New Roman" w:eastAsia="Times New Roman" w:hAnsi="Times New Roman" w:cs="Times New Roman"/>
          <w:szCs w:val="20"/>
          <w:lang w:val="lt-LT" w:eastAsia="sl-SI"/>
        </w:rPr>
        <w:tab/>
        <w:t>odos ir minkštųjų audinių infekcinės ligos, įskaitant dantų infekcines ligas;</w:t>
      </w:r>
    </w:p>
    <w:p w:rsidR="00092F97" w:rsidRPr="00092F97" w:rsidRDefault="00092F97" w:rsidP="00092F97">
      <w:pPr>
        <w:widowControl w:val="0"/>
        <w:spacing w:after="0" w:line="240" w:lineRule="auto"/>
        <w:ind w:left="540" w:hanging="540"/>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w:t>
      </w:r>
      <w:r w:rsidRPr="00092F97">
        <w:rPr>
          <w:rFonts w:ascii="Times New Roman" w:eastAsia="Times New Roman" w:hAnsi="Times New Roman" w:cs="Times New Roman"/>
          <w:szCs w:val="20"/>
          <w:lang w:val="lt-LT" w:eastAsia="sl-SI"/>
        </w:rPr>
        <w:tab/>
        <w:t>kaulų ir sąnarių infekcinės ligos.</w:t>
      </w: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spacing w:after="0" w:line="260" w:lineRule="exact"/>
        <w:ind w:left="567" w:right="-2" w:hanging="567"/>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2.</w:t>
      </w:r>
      <w:r w:rsidRPr="00092F97">
        <w:rPr>
          <w:rFonts w:ascii="Times New Roman" w:eastAsia="Times New Roman" w:hAnsi="Times New Roman" w:cs="Times New Roman"/>
          <w:b/>
          <w:szCs w:val="20"/>
          <w:lang w:val="lt-LT" w:eastAsia="sl-SI"/>
        </w:rPr>
        <w:tab/>
        <w:t>Kas žinotina prieš vartojant Betaklav</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ind w:left="567" w:hanging="567"/>
        <w:rPr>
          <w:rFonts w:ascii="Times New Roman" w:eastAsia="Times New Roman" w:hAnsi="Times New Roman" w:cs="Times New Roman"/>
          <w:b/>
          <w:caps/>
          <w:szCs w:val="20"/>
          <w:lang w:val="lt-LT" w:eastAsia="sl-SI"/>
        </w:rPr>
      </w:pPr>
      <w:r w:rsidRPr="00092F97">
        <w:rPr>
          <w:rFonts w:ascii="Times New Roman" w:eastAsia="Times New Roman" w:hAnsi="Times New Roman" w:cs="Times New Roman"/>
          <w:b/>
          <w:szCs w:val="20"/>
          <w:lang w:val="lt-LT" w:eastAsia="sl-SI"/>
        </w:rPr>
        <w:t>Betaklav vartoti negalima:</w:t>
      </w:r>
    </w:p>
    <w:p w:rsidR="00092F97" w:rsidRPr="00092F97" w:rsidRDefault="00092F97" w:rsidP="00092F97">
      <w:pPr>
        <w:widowControl w:val="0"/>
        <w:numPr>
          <w:ilvl w:val="0"/>
          <w:numId w:val="2"/>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yra alergija amoksicilinui, klavulano rūgščiai arba bet kuriai pagalbinei šio vaisto medžiagai (jos išvardytos 6 skyriuje);</w:t>
      </w:r>
    </w:p>
    <w:p w:rsidR="00092F97" w:rsidRPr="00092F97" w:rsidRDefault="00092F97" w:rsidP="00092F97">
      <w:pPr>
        <w:widowControl w:val="0"/>
        <w:numPr>
          <w:ilvl w:val="0"/>
          <w:numId w:val="2"/>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anksčiau buvo pasireiškusi sunki alerginė (padidėjusio jautrumo) reakcija bet kuriam kitam antibiotikui. Tokios reakcijos gali pasireikšti odos išbėrimu arba veido ar kaklo patinimu;</w:t>
      </w:r>
    </w:p>
    <w:p w:rsidR="00092F97" w:rsidRPr="00092F97" w:rsidRDefault="00092F97" w:rsidP="00092F97">
      <w:pPr>
        <w:widowControl w:val="0"/>
        <w:numPr>
          <w:ilvl w:val="0"/>
          <w:numId w:val="2"/>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anksčiau antibiotikų vartojimo metu buvo pasireiškęs kepenų sutrikimas ar gelta (odos pageltimas).</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b/>
          <w:szCs w:val="20"/>
          <w:lang w:val="lt-LT" w:eastAsia="sl-SI"/>
        </w:rPr>
        <w:t>Jeigu bet kuri aukščiau paminėta būklė tinka Jums arba Jūsų vaikui, Betaklav vartoti negalima</w:t>
      </w:r>
      <w:r w:rsidRPr="00092F97">
        <w:rPr>
          <w:rFonts w:ascii="Times New Roman" w:eastAsia="Times New Roman" w:hAnsi="Times New Roman" w:cs="Times New Roman"/>
          <w:szCs w:val="20"/>
          <w:lang w:val="lt-LT" w:eastAsia="sl-SI"/>
        </w:rPr>
        <w:t xml:space="preserve">. Jeigu </w:t>
      </w:r>
      <w:r w:rsidRPr="00092F97">
        <w:rPr>
          <w:rFonts w:ascii="Times New Roman" w:eastAsia="Times New Roman" w:hAnsi="Times New Roman" w:cs="Times New Roman"/>
          <w:szCs w:val="20"/>
          <w:lang w:val="lt-LT" w:eastAsia="sl-SI"/>
        </w:rPr>
        <w:lastRenderedPageBreak/>
        <w:t>abejojate, prieš pradėdami vartoti Betaklav, kreipkitės į gydytoją arba vaistininką.</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ind w:left="567" w:hanging="567"/>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Įspėjimai ir atsargumo priemonės</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Prieš pradėdami vartoti šį vaistą, pasakykite gydytojui arba vaistininkui:</w:t>
      </w:r>
    </w:p>
    <w:p w:rsidR="00092F97" w:rsidRPr="00092F97" w:rsidRDefault="00092F97" w:rsidP="00092F97">
      <w:pPr>
        <w:widowControl w:val="0"/>
        <w:numPr>
          <w:ilvl w:val="0"/>
          <w:numId w:val="2"/>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sergate vadinamąja infekcine mononukleoze;</w:t>
      </w:r>
    </w:p>
    <w:p w:rsidR="00092F97" w:rsidRPr="00092F97" w:rsidRDefault="00092F97" w:rsidP="00092F97">
      <w:pPr>
        <w:widowControl w:val="0"/>
        <w:numPr>
          <w:ilvl w:val="0"/>
          <w:numId w:val="2"/>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gydotės dėl kepenų ar inkstų sutrikimų;</w:t>
      </w:r>
    </w:p>
    <w:p w:rsidR="00092F97" w:rsidRPr="00092F97" w:rsidRDefault="00092F97" w:rsidP="00092F97">
      <w:pPr>
        <w:widowControl w:val="0"/>
        <w:numPr>
          <w:ilvl w:val="0"/>
          <w:numId w:val="2"/>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šlapinatės nereguliariai.</w:t>
      </w:r>
    </w:p>
    <w:p w:rsidR="00092F97" w:rsidRPr="00092F97" w:rsidRDefault="00092F97" w:rsidP="00092F97">
      <w:pPr>
        <w:widowControl w:val="0"/>
        <w:spacing w:after="0" w:line="240" w:lineRule="auto"/>
        <w:ind w:left="540"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abejojate, ar kuri nors paminėta būklė Jums tinka, prieš pradėdami vartoti šio vaisto, kreipkitės į gydytoją arba vaistininką.</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Tam tikrais atvejais gydytojas gali ištirti, kokios rūšies bakterijos sukėlė Jūsų ar Jūsų vaiko infekcinę ligą. Atsižvelgdamas į tyrimo rezultatus, gydytojas Jums ar Jūsų vaikui gali skirti kitokio stiprumo Betaklav arba kitą vaistą.</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Būklės, kurių turite saugotis</w:t>
      </w: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szCs w:val="20"/>
          <w:lang w:val="lt-LT" w:eastAsia="sl-SI"/>
        </w:rPr>
        <w:t xml:space="preserve">Betaklav gali pasunkinti kai kurias esamas būkles arba sukelti sunkų šalutinį poveikį. Tokios būklės yra alerginės reakcijos, traukuliai (priepuoliai) ir storosios žarnos uždegimas. Turite stebėti, ar Jums arba Jūsų vaikui vartojant Betaklav neatsiranda tam tikrų simptomų, kad būtų kuo mažesnė bet kurių komplikacijų rizika. Žr. </w:t>
      </w:r>
      <w:r w:rsidRPr="00092F97">
        <w:rPr>
          <w:rFonts w:ascii="Times New Roman" w:eastAsia="Times New Roman" w:hAnsi="Times New Roman" w:cs="Times New Roman"/>
          <w:b/>
          <w:szCs w:val="20"/>
          <w:lang w:val="lt-LT" w:eastAsia="sl-SI"/>
        </w:rPr>
        <w:t>4 skyriaus poskyrį</w:t>
      </w:r>
      <w:r w:rsidRPr="00092F97">
        <w:rPr>
          <w:rFonts w:ascii="Times New Roman" w:eastAsia="Times New Roman" w:hAnsi="Times New Roman" w:cs="Times New Roman"/>
          <w:szCs w:val="20"/>
          <w:lang w:val="lt-LT" w:eastAsia="sl-SI"/>
        </w:rPr>
        <w:t>,,Būklės, kurių turite saugotis“.</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Kraujo ir šlapimo tyrimai</w:t>
      </w: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Jums arba Jūsų vaikui bus atliekami kraujo tyrimai (pvz., raudonųjų kraujo ląstelių kiekiui nustatyti arba kepenų funkcijai įvertinti) arba šlapimo tyrimai (gliukozei nustatyti), pasakykite gydytojui arba slaugytojui, kad vartojate Betaklav, kadangi Betaklav gali veikti šių tyrimų rodmenis.</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ind w:left="567" w:hanging="567"/>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Kiti vaistai ir Betaklav</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vartojate arba neseniai vartojote kitų vaistų arba dėl to nesate tikri, apie tai pasakykite gydytojui arba vaistininkui.</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Betaklav vartojant kartu su alopurinoliu (vaistu nuo podagros), padidėja alerginės odos reakcijos rizika.</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vartojate probenecidą (vaistą nuo podagros), gydytojas gali nuspręsti pakeisti Betaklav dozę.</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Betaklav vartojamas kartu su vaistais, kurie padeda neleisti susiformuoti kraujo krešuliams (pvz., varfarinu), gali prireikti papildomų kraujo tyrimų.</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Betaklav gali keisti metotreksato (vaisto, kuriuo gydomas vėžys arba reumatinės ligos) ir mikofenolato mofetilio (vaisto, kuris vartojamas apsisaugoti nuo persodinto organo atmetimo) poveikį.</w:t>
      </w:r>
    </w:p>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tabs>
          <w:tab w:val="left" w:pos="567"/>
        </w:tabs>
        <w:spacing w:after="0" w:line="240" w:lineRule="auto"/>
        <w:jc w:val="both"/>
        <w:outlineLvl w:val="3"/>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Betaklav vartojimas su maistu ir gėrimais</w:t>
      </w: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Betaklav reikia vartoti valgio pradžioje arba likus šiek tiek laiko iki valgio, tabletes reikia nuryti sveikas užgeriant stikline vandens.</w:t>
      </w: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Nėštumas, žindymo laikotarpis ir vaisingumas</w:t>
      </w: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esate nėščia, žindote kūdikį, manote, kad galbūt esate nėščia, arba planuojate pastoti, tai prieš vartodama šį vaistą, pasitarkite su gydytoju arba vaistininku.</w:t>
      </w:r>
    </w:p>
    <w:p w:rsidR="00092F97" w:rsidRPr="00092F97" w:rsidRDefault="00092F97" w:rsidP="00092F97">
      <w:pPr>
        <w:widowControl w:val="0"/>
        <w:numPr>
          <w:ilvl w:val="12"/>
          <w:numId w:val="0"/>
        </w:numPr>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Prieš bet kokio vaisto vartojimą reikia pasitarti su gydytoju arba vaistininku.</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Vairavimas ir mechanizmų valdymas</w:t>
      </w:r>
    </w:p>
    <w:p w:rsidR="00092F97" w:rsidRPr="00092F97" w:rsidRDefault="00092F97" w:rsidP="00092F97">
      <w:pPr>
        <w:widowControl w:val="0"/>
        <w:tabs>
          <w:tab w:val="left" w:pos="0"/>
        </w:tabs>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Betaklav gali sukelti šalutinį poveikį ir simptomų, kurie gali trikdyti gebėjimą vairuoti. Vairuoti ar valdyti mechanizmus galite tik tuo atveju, jei jaučiatės gerai.</w:t>
      </w:r>
    </w:p>
    <w:p w:rsidR="00092F97" w:rsidRPr="00092F97" w:rsidRDefault="00092F97" w:rsidP="00092F97">
      <w:pPr>
        <w:widowControl w:val="0"/>
        <w:tabs>
          <w:tab w:val="left" w:pos="0"/>
        </w:tabs>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tabs>
          <w:tab w:val="left" w:pos="0"/>
        </w:tabs>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left="567" w:hanging="567"/>
        <w:outlineLvl w:val="0"/>
        <w:rPr>
          <w:rFonts w:ascii="Times New Roman" w:eastAsia="Times New Roman" w:hAnsi="Times New Roman" w:cs="Times New Roman"/>
          <w:b/>
          <w:caps/>
          <w:szCs w:val="20"/>
          <w:lang w:val="lt-LT" w:eastAsia="sl-SI"/>
        </w:rPr>
      </w:pPr>
      <w:r w:rsidRPr="00092F97">
        <w:rPr>
          <w:rFonts w:ascii="Times New Roman" w:eastAsia="Times New Roman" w:hAnsi="Times New Roman" w:cs="Times New Roman"/>
          <w:b/>
          <w:szCs w:val="20"/>
          <w:lang w:val="lt-LT" w:eastAsia="sl-SI"/>
        </w:rPr>
        <w:t>3.</w:t>
      </w:r>
      <w:r w:rsidRPr="00092F97">
        <w:rPr>
          <w:rFonts w:ascii="Times New Roman" w:eastAsia="Times New Roman" w:hAnsi="Times New Roman" w:cs="Times New Roman"/>
          <w:b/>
          <w:szCs w:val="20"/>
          <w:lang w:val="lt-LT" w:eastAsia="sl-SI"/>
        </w:rPr>
        <w:tab/>
        <w:t>Kaip vartoti Betaklav</w:t>
      </w:r>
    </w:p>
    <w:p w:rsidR="00092F97" w:rsidRPr="00092F97" w:rsidRDefault="00092F97" w:rsidP="00092F97">
      <w:pPr>
        <w:widowControl w:val="0"/>
        <w:spacing w:after="0" w:line="240" w:lineRule="auto"/>
        <w:ind w:left="567" w:hanging="567"/>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Šį vaistą visada vartokite tiksliai kaip nurodė gydytojas arba vaistininkas. Jeigu abejojate, kreipkitės į gydytoją arba vaistininką.</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ind w:right="-2"/>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Suaugusieji ir vaikai, kurie sveria 40 kg ir daugiau</w:t>
      </w:r>
    </w:p>
    <w:p w:rsidR="00092F97" w:rsidRPr="00092F97" w:rsidRDefault="00092F97" w:rsidP="00092F97">
      <w:pPr>
        <w:widowControl w:val="0"/>
        <w:spacing w:after="0" w:line="240" w:lineRule="auto"/>
        <w:rPr>
          <w:rFonts w:ascii="Times New Roman" w:eastAsia="Times New Roman" w:hAnsi="Times New Roman" w:cs="Times New Roman"/>
          <w:szCs w:val="20"/>
          <w:u w:val="single"/>
          <w:lang w:val="lt-LT" w:eastAsia="sl-SI"/>
        </w:rPr>
      </w:pPr>
      <w:r w:rsidRPr="00092F97">
        <w:rPr>
          <w:rFonts w:ascii="Times New Roman" w:eastAsia="Times New Roman" w:hAnsi="Times New Roman" w:cs="Times New Roman"/>
          <w:szCs w:val="20"/>
          <w:highlight w:val="lightGray"/>
          <w:u w:val="single"/>
          <w:lang w:val="lt-LT" w:eastAsia="sl-SI"/>
        </w:rPr>
        <w:t>500 mg/125 mg plėvele dengtos tabletės</w:t>
      </w:r>
    </w:p>
    <w:p w:rsidR="00092F97" w:rsidRPr="00092F97" w:rsidRDefault="00092F97" w:rsidP="00092F97">
      <w:pPr>
        <w:widowControl w:val="0"/>
        <w:numPr>
          <w:ilvl w:val="0"/>
          <w:numId w:val="3"/>
        </w:numPr>
        <w:spacing w:after="0" w:line="260" w:lineRule="exact"/>
        <w:contextualSpacing/>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Rekomenduojama dozė yra po 1 tabletę tris kartus per parą.</w:t>
      </w:r>
    </w:p>
    <w:p w:rsidR="00092F97" w:rsidRPr="00092F97" w:rsidRDefault="00092F97" w:rsidP="00092F97">
      <w:pPr>
        <w:widowControl w:val="0"/>
        <w:spacing w:after="0" w:line="240" w:lineRule="auto"/>
        <w:rPr>
          <w:rFonts w:ascii="Times New Roman" w:eastAsia="Times New Roman" w:hAnsi="Times New Roman" w:cs="Times New Roman"/>
          <w:szCs w:val="20"/>
          <w:highlight w:val="lightGray"/>
          <w:u w:val="single"/>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szCs w:val="20"/>
          <w:u w:val="single"/>
          <w:lang w:val="lt-LT" w:eastAsia="sl-SI"/>
        </w:rPr>
      </w:pPr>
      <w:r w:rsidRPr="00092F97">
        <w:rPr>
          <w:rFonts w:ascii="Times New Roman" w:eastAsia="Times New Roman" w:hAnsi="Times New Roman" w:cs="Times New Roman"/>
          <w:szCs w:val="20"/>
          <w:highlight w:val="lightGray"/>
          <w:u w:val="single"/>
          <w:lang w:val="lt-LT" w:eastAsia="sl-SI"/>
        </w:rPr>
        <w:t>875 mg/125 mg plėvele dengtos tabletės</w:t>
      </w:r>
    </w:p>
    <w:p w:rsidR="00092F97" w:rsidRPr="00092F97" w:rsidRDefault="00092F97" w:rsidP="00092F97">
      <w:pPr>
        <w:widowControl w:val="0"/>
        <w:numPr>
          <w:ilvl w:val="0"/>
          <w:numId w:val="4"/>
        </w:numPr>
        <w:spacing w:after="0" w:line="260" w:lineRule="exact"/>
        <w:contextualSpacing/>
        <w:rPr>
          <w:rFonts w:ascii="Times New Roman" w:eastAsia="Times New Roman" w:hAnsi="Times New Roman" w:cs="Times New Roman"/>
          <w:szCs w:val="20"/>
          <w:highlight w:val="lightGray"/>
          <w:lang w:val="lt-LT" w:eastAsia="sl-SI"/>
        </w:rPr>
      </w:pPr>
      <w:r w:rsidRPr="00092F97">
        <w:rPr>
          <w:rFonts w:ascii="Times New Roman" w:eastAsia="Times New Roman" w:hAnsi="Times New Roman" w:cs="Times New Roman"/>
          <w:szCs w:val="20"/>
          <w:highlight w:val="lightGray"/>
          <w:lang w:val="lt-LT" w:eastAsia="sl-SI"/>
        </w:rPr>
        <w:t>Rekomenduojama dozė yra po 1 tabletę du kartus per parą.</w:t>
      </w:r>
    </w:p>
    <w:p w:rsidR="00092F97" w:rsidRPr="00092F97" w:rsidRDefault="00092F97" w:rsidP="00092F97">
      <w:pPr>
        <w:widowControl w:val="0"/>
        <w:numPr>
          <w:ilvl w:val="0"/>
          <w:numId w:val="4"/>
        </w:numPr>
        <w:spacing w:after="0" w:line="260" w:lineRule="exact"/>
        <w:contextualSpacing/>
        <w:rPr>
          <w:rFonts w:ascii="Times New Roman" w:eastAsia="Times New Roman" w:hAnsi="Times New Roman" w:cs="Times New Roman"/>
          <w:szCs w:val="20"/>
          <w:highlight w:val="lightGray"/>
          <w:lang w:val="lt-LT" w:eastAsia="sl-SI"/>
        </w:rPr>
      </w:pPr>
      <w:r w:rsidRPr="00092F97">
        <w:rPr>
          <w:rFonts w:ascii="Times New Roman" w:eastAsia="Times New Roman" w:hAnsi="Times New Roman" w:cs="Times New Roman"/>
          <w:szCs w:val="20"/>
          <w:highlight w:val="lightGray"/>
          <w:lang w:val="lt-LT" w:eastAsia="sl-SI"/>
        </w:rPr>
        <w:t>Didesnė dozė yra po 1 tabletę tris kartus per parą.</w:t>
      </w:r>
    </w:p>
    <w:p w:rsidR="00092F97" w:rsidRPr="00092F97" w:rsidRDefault="00092F97" w:rsidP="00092F97">
      <w:pPr>
        <w:widowControl w:val="0"/>
        <w:tabs>
          <w:tab w:val="left" w:pos="567"/>
        </w:tabs>
        <w:spacing w:after="0" w:line="240" w:lineRule="auto"/>
        <w:jc w:val="both"/>
        <w:outlineLvl w:val="3"/>
        <w:rPr>
          <w:rFonts w:ascii="Times New Roman" w:eastAsia="Times New Roman" w:hAnsi="Times New Roman" w:cs="Times New Roman"/>
          <w:b/>
          <w:szCs w:val="20"/>
          <w:lang w:val="lt-LT" w:eastAsia="sl-SI"/>
        </w:rPr>
      </w:pPr>
    </w:p>
    <w:p w:rsidR="00092F97" w:rsidRPr="00092F97" w:rsidRDefault="00092F97" w:rsidP="00092F97">
      <w:pPr>
        <w:widowControl w:val="0"/>
        <w:tabs>
          <w:tab w:val="left" w:pos="567"/>
        </w:tabs>
        <w:spacing w:after="0" w:line="240" w:lineRule="auto"/>
        <w:jc w:val="both"/>
        <w:outlineLvl w:val="3"/>
        <w:rPr>
          <w:rFonts w:ascii="Times New Roman" w:eastAsia="Times New Roman" w:hAnsi="Times New Roman" w:cs="Times New Roman"/>
          <w:szCs w:val="20"/>
          <w:lang w:val="lt-LT" w:eastAsia="sl-SI"/>
        </w:rPr>
      </w:pPr>
      <w:r w:rsidRPr="00092F97">
        <w:rPr>
          <w:rFonts w:ascii="Times New Roman" w:eastAsia="Times New Roman" w:hAnsi="Times New Roman" w:cs="Times New Roman"/>
          <w:b/>
          <w:szCs w:val="20"/>
          <w:lang w:val="lt-LT" w:eastAsia="sl-SI"/>
        </w:rPr>
        <w:t>Vartojimas vaikams</w:t>
      </w: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Vaikai, kurie sveria mažiau kaip 40 kg</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6 metų ir jaunesnius vaikus geriau gydyti amoksicilino/klavulano rūgšties geriamąja suspensija.</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szCs w:val="20"/>
          <w:u w:val="single"/>
          <w:lang w:val="lt-LT" w:eastAsia="sl-SI"/>
        </w:rPr>
      </w:pPr>
      <w:r w:rsidRPr="00092F97">
        <w:rPr>
          <w:rFonts w:ascii="Times New Roman" w:eastAsia="Times New Roman" w:hAnsi="Times New Roman" w:cs="Times New Roman"/>
          <w:szCs w:val="20"/>
          <w:highlight w:val="lightGray"/>
          <w:u w:val="single"/>
          <w:lang w:val="lt-LT" w:eastAsia="sl-SI"/>
        </w:rPr>
        <w:t>500 mg/125 mg plėvele dengtos tabletės</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Prieš vartojant Betaklav tabletes vaikams, kurie sveria mažiau kaip 40 kg, kreipkitės patarimo į gydytoją arba vaistininką. Tabletės netinka vaikams, kurie sveria mažiau kaip 25 kg.</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szCs w:val="20"/>
          <w:u w:val="single"/>
          <w:lang w:val="lt-LT" w:eastAsia="sl-SI"/>
        </w:rPr>
      </w:pPr>
      <w:r w:rsidRPr="00092F97">
        <w:rPr>
          <w:rFonts w:ascii="Times New Roman" w:eastAsia="Times New Roman" w:hAnsi="Times New Roman" w:cs="Times New Roman"/>
          <w:szCs w:val="20"/>
          <w:highlight w:val="lightGray"/>
          <w:u w:val="single"/>
          <w:lang w:val="lt-LT" w:eastAsia="sl-SI"/>
        </w:rPr>
        <w:t>875 mg/125 mg plėvele dengtos tabletės</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Prieš vartojant Betaklav tabletes vaikams, kurie sveria mažiau kaip 40 kg, kreipkitės patarimo į gydytoją arba vaistininką. Tabletės netinka vaikams, kurie sveria mažiau kaip 25 kg.</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i/>
          <w:szCs w:val="20"/>
          <w:lang w:val="lt-LT" w:eastAsia="sl-SI"/>
        </w:rPr>
      </w:pPr>
      <w:r w:rsidRPr="00092F97">
        <w:rPr>
          <w:rFonts w:ascii="Times New Roman" w:eastAsia="Times New Roman" w:hAnsi="Times New Roman" w:cs="Times New Roman"/>
          <w:b/>
          <w:szCs w:val="20"/>
          <w:lang w:val="lt-LT" w:eastAsia="sl-SI"/>
        </w:rPr>
        <w:t>Pacientai, kuriems yra inkstų ir kepenų sutrikimų</w:t>
      </w:r>
    </w:p>
    <w:p w:rsidR="00092F97" w:rsidRPr="00092F97" w:rsidRDefault="00092F97" w:rsidP="00092F97">
      <w:pPr>
        <w:widowControl w:val="0"/>
        <w:numPr>
          <w:ilvl w:val="0"/>
          <w:numId w:val="3"/>
        </w:numPr>
        <w:spacing w:after="0" w:line="260" w:lineRule="exact"/>
        <w:contextualSpacing/>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Jums arba Jūsų vaikui yra inkstų sutrikimų, gali tekti keisti dozę. Gydytojas gali skirti kitokio stiprumo arba kitą vaistą.</w:t>
      </w:r>
    </w:p>
    <w:p w:rsidR="00092F97" w:rsidRPr="00092F97" w:rsidRDefault="00092F97" w:rsidP="00092F97">
      <w:pPr>
        <w:widowControl w:val="0"/>
        <w:numPr>
          <w:ilvl w:val="0"/>
          <w:numId w:val="3"/>
        </w:numPr>
        <w:spacing w:after="0" w:line="260" w:lineRule="exact"/>
        <w:contextualSpacing/>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Jums arba Jūsų vaikui yra kepenų sutrikimų, gali tekti dažniau tirti kraują, kad būtų galima įvertinti kepenų veiklą.</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Kaip vartoti Betaklav</w:t>
      </w:r>
    </w:p>
    <w:p w:rsidR="00092F97" w:rsidRPr="00092F97" w:rsidRDefault="00092F97" w:rsidP="00092F97">
      <w:pPr>
        <w:widowControl w:val="0"/>
        <w:numPr>
          <w:ilvl w:val="0"/>
          <w:numId w:val="3"/>
        </w:numPr>
        <w:spacing w:after="0" w:line="260" w:lineRule="exact"/>
        <w:contextualSpacing/>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Pradėję valgyti arba likus šiek tiek laiko iki valgio, nurykite visą tabletę užsigerdami stikline vandens.</w:t>
      </w:r>
    </w:p>
    <w:p w:rsidR="00092F97" w:rsidRPr="00092F97" w:rsidRDefault="00092F97" w:rsidP="00092F97">
      <w:pPr>
        <w:widowControl w:val="0"/>
        <w:numPr>
          <w:ilvl w:val="0"/>
          <w:numId w:val="3"/>
        </w:numPr>
        <w:spacing w:after="0" w:line="260" w:lineRule="exact"/>
        <w:contextualSpacing/>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Paskirstykite dozes vienodais laiko tarpais per parą, tarp dozių vartojimo turi praeiti ne mažiau kaip 4 valandos. 2 dozių per 1 valandą vartoti negalima.</w:t>
      </w:r>
    </w:p>
    <w:p w:rsidR="00092F97" w:rsidRPr="00092F97" w:rsidRDefault="00092F97" w:rsidP="00092F97">
      <w:pPr>
        <w:widowControl w:val="0"/>
        <w:numPr>
          <w:ilvl w:val="0"/>
          <w:numId w:val="3"/>
        </w:numPr>
        <w:spacing w:after="0" w:line="260" w:lineRule="exact"/>
        <w:contextualSpacing/>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Betaklav vartoti ilgiau kaip 2 savaites negalima. Jeigu Jūs ar Jūsų vaikas vis dar jaučiatės blogai, dar kartą kreipkitės į gydytoją.</w:t>
      </w:r>
    </w:p>
    <w:p w:rsidR="00092F97" w:rsidRPr="00092F97" w:rsidRDefault="00092F97" w:rsidP="00092F97">
      <w:pPr>
        <w:widowControl w:val="0"/>
        <w:spacing w:after="0" w:line="240" w:lineRule="auto"/>
        <w:ind w:right="-2"/>
        <w:rPr>
          <w:rFonts w:ascii="Times New Roman" w:eastAsia="Times New Roman" w:hAnsi="Times New Roman" w:cs="Times New Roman"/>
          <w:b/>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Ką daryti pavartojus per didelę Betaklav dozę?</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išgėrėte per daug Betaklav, gali pasireikšti pilvo sutrikimų (pykinimas, vėmimas ar viduriavimas) ar traukulių. Kiek įmanoma greičiau kreipkitės į gydytoją. Pasiimkite vaisto dėžutę ar buteliuką, kad galėtumėte parodyti gydytojui.</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Pamiršus pavartoti Betaklav</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Negalima vartoti dvigubos dozės norint kompensuoti praleistą dozę. Jeigu pamiršote suvartoti dozę, išgerkite ją kai tik prisiminsite. Kitos dozės greitai gerti negalima: ją vartoti galima tik po maždaug 4 valandų.</w:t>
      </w:r>
    </w:p>
    <w:p w:rsidR="00092F97" w:rsidRPr="00092F97" w:rsidRDefault="00092F97" w:rsidP="00092F97">
      <w:pPr>
        <w:widowControl w:val="0"/>
        <w:spacing w:after="0" w:line="240" w:lineRule="auto"/>
        <w:ind w:right="-2"/>
        <w:rPr>
          <w:rFonts w:ascii="Times New Roman" w:eastAsia="Times New Roman" w:hAnsi="Times New Roman" w:cs="Times New Roman"/>
          <w:b/>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Nustojus vartoti Betaklav</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Vartokite Betaklav, kol baigsite gydymo kursą, net jeigu jaučiatės gerai. Kad įveiktumėte infekcinę ligą, turite išgerti kiekvieną dozę. Jeigu organizme lieka bakterijų, liga gali atsinaujinti.</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kiltų daugiau klausimų dėl šio vaisto vartojimo, kreipkitės į gydytoją arba vaistininką.</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ind w:left="567" w:hanging="567"/>
        <w:rPr>
          <w:rFonts w:ascii="Times New Roman" w:eastAsia="Times New Roman" w:hAnsi="Times New Roman" w:cs="Times New Roman"/>
          <w:b/>
          <w:caps/>
          <w:szCs w:val="20"/>
          <w:lang w:val="lt-LT" w:eastAsia="sl-SI"/>
        </w:rPr>
      </w:pPr>
      <w:r w:rsidRPr="00092F97">
        <w:rPr>
          <w:rFonts w:ascii="Times New Roman" w:eastAsia="Times New Roman" w:hAnsi="Times New Roman" w:cs="Times New Roman"/>
          <w:b/>
          <w:caps/>
          <w:szCs w:val="20"/>
          <w:lang w:val="lt-LT" w:eastAsia="sl-SI"/>
        </w:rPr>
        <w:t>4.</w:t>
      </w:r>
      <w:r w:rsidRPr="00092F97">
        <w:rPr>
          <w:rFonts w:ascii="Times New Roman" w:eastAsia="Times New Roman" w:hAnsi="Times New Roman" w:cs="Times New Roman"/>
          <w:b/>
          <w:caps/>
          <w:szCs w:val="20"/>
          <w:lang w:val="lt-LT" w:eastAsia="sl-SI"/>
        </w:rPr>
        <w:tab/>
      </w:r>
      <w:r w:rsidRPr="00092F97">
        <w:rPr>
          <w:rFonts w:ascii="Times New Roman" w:eastAsia="Times New Roman" w:hAnsi="Times New Roman" w:cs="Times New Roman"/>
          <w:b/>
          <w:szCs w:val="20"/>
          <w:lang w:val="lt-LT" w:eastAsia="sl-SI"/>
        </w:rPr>
        <w:t>Galimas šalutinis poveikis</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Šis vaistas, kaip ir visi kiti, gali sukelti šalutinį poveikį, nors jis pasireiškia ne visiems žmonėms.</w:t>
      </w:r>
    </w:p>
    <w:p w:rsidR="00092F97" w:rsidRPr="00092F97" w:rsidRDefault="00092F97" w:rsidP="00092F97">
      <w:pPr>
        <w:widowControl w:val="0"/>
        <w:spacing w:after="0" w:line="240" w:lineRule="auto"/>
        <w:ind w:left="567" w:hanging="567"/>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Būklės, kurių turite saugotis</w:t>
      </w: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Alerginės reakcijos:</w:t>
      </w:r>
    </w:p>
    <w:p w:rsidR="00092F97" w:rsidRPr="00092F97" w:rsidRDefault="00092F97" w:rsidP="00092F97">
      <w:pPr>
        <w:widowControl w:val="0"/>
        <w:numPr>
          <w:ilvl w:val="0"/>
          <w:numId w:val="5"/>
        </w:numPr>
        <w:spacing w:after="0" w:line="240" w:lineRule="auto"/>
        <w:rPr>
          <w:rFonts w:ascii="Times New Roman" w:eastAsia="Times New Roman" w:hAnsi="Times New Roman" w:cs="Times New Roman"/>
          <w:strike/>
          <w:szCs w:val="20"/>
          <w:lang w:val="lt-LT" w:eastAsia="sl-SI"/>
        </w:rPr>
      </w:pPr>
      <w:r w:rsidRPr="00092F97">
        <w:rPr>
          <w:rFonts w:ascii="Times New Roman" w:eastAsia="Times New Roman" w:hAnsi="Times New Roman" w:cs="Times New Roman"/>
          <w:szCs w:val="20"/>
          <w:lang w:val="lt-LT" w:eastAsia="sl-SI"/>
        </w:rPr>
        <w:t>odos išbėrimas;</w:t>
      </w:r>
    </w:p>
    <w:p w:rsidR="00092F97" w:rsidRPr="00092F97" w:rsidRDefault="00092F97" w:rsidP="00092F97">
      <w:pPr>
        <w:widowControl w:val="0"/>
        <w:numPr>
          <w:ilvl w:val="0"/>
          <w:numId w:val="5"/>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kraujagyslių uždegimas (</w:t>
      </w:r>
      <w:r w:rsidRPr="00092F97">
        <w:rPr>
          <w:rFonts w:ascii="Times New Roman" w:eastAsia="Times New Roman" w:hAnsi="Times New Roman" w:cs="Times New Roman"/>
          <w:i/>
          <w:szCs w:val="20"/>
          <w:lang w:val="lt-LT" w:eastAsia="sl-SI"/>
        </w:rPr>
        <w:t>vaskulitas</w:t>
      </w:r>
      <w:r w:rsidRPr="00092F97">
        <w:rPr>
          <w:rFonts w:ascii="Times New Roman" w:eastAsia="Times New Roman" w:hAnsi="Times New Roman" w:cs="Times New Roman"/>
          <w:szCs w:val="20"/>
          <w:lang w:val="lt-LT" w:eastAsia="sl-SI"/>
        </w:rPr>
        <w:t>), kuris gali pasireikšti raudonomis ar purpurinėmis iškiliomis dėmėmis odoje, bet gali paveikti ir kitas organizmo vietas;</w:t>
      </w:r>
    </w:p>
    <w:p w:rsidR="00092F97" w:rsidRPr="00092F97" w:rsidRDefault="00092F97" w:rsidP="00092F97">
      <w:pPr>
        <w:widowControl w:val="0"/>
        <w:numPr>
          <w:ilvl w:val="0"/>
          <w:numId w:val="5"/>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karščiavimas, sąnarių skausmas, kaklo, pažastų ar kirkšnių limfmazgių padidėjimas;</w:t>
      </w:r>
    </w:p>
    <w:p w:rsidR="00092F97" w:rsidRPr="00092F97" w:rsidRDefault="00092F97" w:rsidP="00092F97">
      <w:pPr>
        <w:widowControl w:val="0"/>
        <w:numPr>
          <w:ilvl w:val="0"/>
          <w:numId w:val="5"/>
        </w:numPr>
        <w:spacing w:after="0" w:line="240" w:lineRule="auto"/>
        <w:ind w:right="-2"/>
        <w:rPr>
          <w:rFonts w:ascii="Times New Roman" w:eastAsia="Times New Roman" w:hAnsi="Times New Roman" w:cs="Times New Roman"/>
          <w:szCs w:val="20"/>
          <w:lang w:val="lt-LT" w:eastAsia="sl-SI"/>
        </w:rPr>
      </w:pPr>
      <w:bookmarkStart w:id="1" w:name="_DV_C187"/>
      <w:bookmarkStart w:id="2" w:name="_DV_X229"/>
      <w:bookmarkStart w:id="3" w:name="_DV_C188"/>
      <w:bookmarkEnd w:id="1"/>
      <w:r w:rsidRPr="00092F97">
        <w:rPr>
          <w:rFonts w:ascii="Times New Roman" w:eastAsia="Times New Roman" w:hAnsi="Times New Roman" w:cs="Times New Roman"/>
          <w:szCs w:val="20"/>
          <w:lang w:val="lt-LT" w:eastAsia="sl-SI"/>
        </w:rPr>
        <w:t>patinimas, kartais veido ar burnos (</w:t>
      </w:r>
      <w:r w:rsidRPr="00092F97">
        <w:rPr>
          <w:rFonts w:ascii="Times New Roman" w:eastAsia="Times New Roman" w:hAnsi="Times New Roman" w:cs="Times New Roman"/>
          <w:i/>
          <w:szCs w:val="20"/>
          <w:lang w:val="lt-LT" w:eastAsia="sl-SI"/>
        </w:rPr>
        <w:t>angioneurozinė edema</w:t>
      </w:r>
      <w:r w:rsidRPr="00092F97">
        <w:rPr>
          <w:rFonts w:ascii="Times New Roman" w:eastAsia="Times New Roman" w:hAnsi="Times New Roman" w:cs="Times New Roman"/>
          <w:szCs w:val="20"/>
          <w:lang w:val="lt-LT" w:eastAsia="sl-SI"/>
        </w:rPr>
        <w:t>), dėl kurio gali pasunkėti kvėpavimas;</w:t>
      </w:r>
      <w:bookmarkEnd w:id="2"/>
      <w:bookmarkEnd w:id="3"/>
    </w:p>
    <w:p w:rsidR="00092F97" w:rsidRPr="00092F97" w:rsidRDefault="00092F97" w:rsidP="00092F97">
      <w:pPr>
        <w:widowControl w:val="0"/>
        <w:numPr>
          <w:ilvl w:val="0"/>
          <w:numId w:val="5"/>
        </w:numPr>
        <w:spacing w:after="0" w:line="240" w:lineRule="auto"/>
        <w:ind w:right="-2"/>
        <w:rPr>
          <w:rFonts w:ascii="Times New Roman" w:eastAsia="Times New Roman" w:hAnsi="Times New Roman" w:cs="Times New Roman"/>
          <w:szCs w:val="20"/>
          <w:lang w:val="lt-LT" w:eastAsia="sl-SI"/>
        </w:rPr>
      </w:pPr>
      <w:bookmarkStart w:id="4" w:name="_DV_C189"/>
      <w:bookmarkStart w:id="5" w:name="_DV_X231"/>
      <w:bookmarkStart w:id="6" w:name="_DV_C190"/>
      <w:bookmarkEnd w:id="4"/>
      <w:r w:rsidRPr="00092F97">
        <w:rPr>
          <w:rFonts w:ascii="Times New Roman" w:eastAsia="Times New Roman" w:hAnsi="Times New Roman" w:cs="Times New Roman"/>
          <w:szCs w:val="20"/>
          <w:lang w:val="lt-LT" w:eastAsia="sl-SI"/>
        </w:rPr>
        <w:t>kolapsas.</w:t>
      </w:r>
    </w:p>
    <w:p w:rsidR="00092F97" w:rsidRPr="00092F97" w:rsidRDefault="00092F97" w:rsidP="00092F97">
      <w:pPr>
        <w:widowControl w:val="0"/>
        <w:tabs>
          <w:tab w:val="num" w:pos="720"/>
          <w:tab w:val="num" w:pos="1800"/>
        </w:tabs>
        <w:spacing w:after="0" w:line="240" w:lineRule="auto"/>
        <w:ind w:right="-2"/>
        <w:rPr>
          <w:rFonts w:ascii="Times New Roman" w:eastAsia="SimSun" w:hAnsi="Times New Roman" w:cs="Times New Roman"/>
          <w:szCs w:val="20"/>
          <w:lang w:val="lt-LT" w:eastAsia="sl-SI"/>
        </w:rPr>
      </w:pPr>
      <w:bookmarkStart w:id="7" w:name="_DV_C191"/>
      <w:bookmarkStart w:id="8" w:name="_DV_X233"/>
      <w:bookmarkStart w:id="9" w:name="_DV_C192"/>
      <w:bookmarkEnd w:id="5"/>
      <w:bookmarkEnd w:id="6"/>
      <w:bookmarkEnd w:id="7"/>
    </w:p>
    <w:p w:rsidR="00092F97" w:rsidRPr="00092F97" w:rsidRDefault="00092F97" w:rsidP="00092F97">
      <w:pPr>
        <w:widowControl w:val="0"/>
        <w:tabs>
          <w:tab w:val="num" w:pos="720"/>
          <w:tab w:val="num" w:pos="1800"/>
        </w:tabs>
        <w:spacing w:after="0" w:line="240" w:lineRule="auto"/>
        <w:ind w:right="-2"/>
        <w:rPr>
          <w:rFonts w:ascii="Times New Roman" w:eastAsia="Times New Roman" w:hAnsi="Times New Roman" w:cs="Times New Roman"/>
          <w:b/>
          <w:szCs w:val="20"/>
          <w:lang w:val="lt-LT" w:eastAsia="sl-SI"/>
        </w:rPr>
      </w:pPr>
      <w:r w:rsidRPr="00092F97">
        <w:rPr>
          <w:rFonts w:ascii="Times New Roman" w:eastAsia="SimSun" w:hAnsi="Times New Roman" w:cs="Times New Roman"/>
          <w:szCs w:val="20"/>
          <w:lang w:val="lt-LT" w:eastAsia="sl-SI"/>
        </w:rPr>
        <w:t xml:space="preserve">Jeigu pasireiškė tokių simptomų, </w:t>
      </w:r>
      <w:r w:rsidRPr="00092F97">
        <w:rPr>
          <w:rFonts w:ascii="Times New Roman" w:eastAsia="SimSun" w:hAnsi="Times New Roman" w:cs="Times New Roman"/>
          <w:b/>
          <w:szCs w:val="20"/>
          <w:lang w:val="lt-LT" w:eastAsia="sl-SI"/>
        </w:rPr>
        <w:t>nedelsdami kreipkitės į gydytoją</w:t>
      </w:r>
      <w:bookmarkEnd w:id="8"/>
      <w:bookmarkEnd w:id="9"/>
      <w:r w:rsidRPr="00092F97">
        <w:rPr>
          <w:rFonts w:ascii="Times New Roman" w:eastAsia="SimSun" w:hAnsi="Times New Roman" w:cs="Times New Roman"/>
          <w:szCs w:val="20"/>
          <w:lang w:val="lt-LT" w:eastAsia="sl-SI"/>
        </w:rPr>
        <w:t>.</w:t>
      </w:r>
      <w:r w:rsidRPr="00092F97">
        <w:rPr>
          <w:rFonts w:ascii="Times New Roman" w:eastAsia="Times New Roman" w:hAnsi="Times New Roman" w:cs="Times New Roman"/>
          <w:b/>
          <w:szCs w:val="20"/>
          <w:lang w:val="lt-LT" w:eastAsia="sl-SI"/>
        </w:rPr>
        <w:t xml:space="preserve"> Nutraukite Betaklav vartojimą.</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Storosios žarnos uždegimas</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Storosios žarnos uždegimas gali sukelti viduriavimą vandeningomis išmatomis su krauju ir gleivėmis, pilvo skausmą ir (arba) karščiavimą.</w:t>
      </w:r>
    </w:p>
    <w:p w:rsidR="00092F97" w:rsidRPr="00092F97" w:rsidRDefault="00092F97" w:rsidP="00092F97">
      <w:pPr>
        <w:widowControl w:val="0"/>
        <w:tabs>
          <w:tab w:val="num" w:pos="720"/>
          <w:tab w:val="num" w:pos="1800"/>
        </w:tabs>
        <w:spacing w:after="0" w:line="240" w:lineRule="auto"/>
        <w:ind w:right="-2"/>
        <w:rPr>
          <w:rFonts w:ascii="Times New Roman" w:eastAsia="SimSun" w:hAnsi="Times New Roman" w:cs="Times New Roman"/>
          <w:szCs w:val="20"/>
          <w:lang w:val="lt-LT" w:eastAsia="sl-SI"/>
        </w:rPr>
      </w:pPr>
    </w:p>
    <w:p w:rsidR="00092F97" w:rsidRPr="00092F97" w:rsidRDefault="00092F97" w:rsidP="00092F97">
      <w:pPr>
        <w:widowControl w:val="0"/>
        <w:tabs>
          <w:tab w:val="num" w:pos="720"/>
          <w:tab w:val="num" w:pos="1800"/>
        </w:tabs>
        <w:spacing w:after="0" w:line="240" w:lineRule="auto"/>
        <w:ind w:right="-2"/>
        <w:rPr>
          <w:rFonts w:ascii="Times New Roman" w:eastAsia="Times New Roman" w:hAnsi="Times New Roman" w:cs="Times New Roman"/>
          <w:szCs w:val="20"/>
          <w:lang w:val="lt-LT" w:eastAsia="sl-SI"/>
        </w:rPr>
      </w:pPr>
      <w:r w:rsidRPr="00092F97">
        <w:rPr>
          <w:rFonts w:ascii="Times New Roman" w:eastAsia="SimSun" w:hAnsi="Times New Roman" w:cs="Times New Roman"/>
          <w:szCs w:val="20"/>
          <w:lang w:val="lt-LT" w:eastAsia="sl-SI"/>
        </w:rPr>
        <w:t xml:space="preserve">Jeigu pasireiškė tokių simptomų, </w:t>
      </w:r>
      <w:r w:rsidRPr="00092F97">
        <w:rPr>
          <w:rFonts w:ascii="Times New Roman" w:eastAsia="SimSun" w:hAnsi="Times New Roman" w:cs="Times New Roman"/>
          <w:b/>
          <w:szCs w:val="20"/>
          <w:lang w:val="lt-LT" w:eastAsia="sl-SI"/>
        </w:rPr>
        <w:t>kiek įmanoma greičiau kreipkitės į gydytoją</w:t>
      </w:r>
      <w:r w:rsidRPr="00092F97">
        <w:rPr>
          <w:rFonts w:ascii="Times New Roman" w:eastAsia="Times New Roman" w:hAnsi="Times New Roman" w:cs="Times New Roman"/>
          <w:szCs w:val="20"/>
          <w:lang w:val="lt-LT" w:eastAsia="sl-SI"/>
        </w:rPr>
        <w:t>.</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i/>
          <w:szCs w:val="20"/>
          <w:lang w:val="lt-LT" w:eastAsia="sl-SI"/>
        </w:rPr>
      </w:pPr>
      <w:r w:rsidRPr="00092F97">
        <w:rPr>
          <w:rFonts w:ascii="Times New Roman" w:eastAsia="Times New Roman" w:hAnsi="Times New Roman" w:cs="Times New Roman"/>
          <w:i/>
          <w:szCs w:val="20"/>
          <w:lang w:val="lt-LT" w:eastAsia="sl-SI"/>
        </w:rPr>
        <w:t>Labai dažnas šalutinis poveikis: gali pasireikšti daugiau kaip 1 iš 10 žmonių:</w:t>
      </w:r>
    </w:p>
    <w:p w:rsidR="00092F97" w:rsidRPr="00092F97" w:rsidRDefault="00092F97" w:rsidP="00092F97">
      <w:pPr>
        <w:widowControl w:val="0"/>
        <w:numPr>
          <w:ilvl w:val="0"/>
          <w:numId w:val="5"/>
        </w:numPr>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viduriavimas (suaugusiesiems).</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i/>
          <w:szCs w:val="20"/>
          <w:lang w:val="lt-LT" w:eastAsia="sl-SI"/>
        </w:rPr>
      </w:pPr>
      <w:r w:rsidRPr="00092F97">
        <w:rPr>
          <w:rFonts w:ascii="Times New Roman" w:eastAsia="Times New Roman" w:hAnsi="Times New Roman" w:cs="Times New Roman"/>
          <w:i/>
          <w:szCs w:val="20"/>
          <w:lang w:val="lt-LT" w:eastAsia="sl-SI"/>
        </w:rPr>
        <w:t>Dažnas šalutinis poveikis: gali pasireikšti ne daugiau kaip 1 iš 10 žmonių:</w:t>
      </w:r>
    </w:p>
    <w:p w:rsidR="00092F97" w:rsidRPr="00092F97" w:rsidRDefault="00092F97" w:rsidP="00092F97">
      <w:pPr>
        <w:widowControl w:val="0"/>
        <w:numPr>
          <w:ilvl w:val="0"/>
          <w:numId w:val="6"/>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pienligė (kandidozė, t. y. mieliagrybių sukelta makšties, burnos ar odos raukšlių infekcinė liga);</w:t>
      </w:r>
    </w:p>
    <w:p w:rsidR="00092F97" w:rsidRPr="00092F97" w:rsidRDefault="00092F97" w:rsidP="00092F97">
      <w:pPr>
        <w:widowControl w:val="0"/>
        <w:numPr>
          <w:ilvl w:val="0"/>
          <w:numId w:val="6"/>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pykinimas, ypač vartojant dideles dozes.</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pasireiškia toks poveikis, Betaklav vartokite prieš valgį;</w:t>
      </w:r>
    </w:p>
    <w:p w:rsidR="00092F97" w:rsidRPr="00092F97" w:rsidRDefault="00092F97" w:rsidP="00092F97">
      <w:pPr>
        <w:widowControl w:val="0"/>
        <w:numPr>
          <w:ilvl w:val="0"/>
          <w:numId w:val="6"/>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vėmimas;</w:t>
      </w:r>
    </w:p>
    <w:p w:rsidR="00092F97" w:rsidRPr="00092F97" w:rsidRDefault="00092F97" w:rsidP="00092F97">
      <w:pPr>
        <w:widowControl w:val="0"/>
        <w:numPr>
          <w:ilvl w:val="0"/>
          <w:numId w:val="6"/>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viduriavimas (vaikams).</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i/>
          <w:szCs w:val="20"/>
          <w:lang w:val="lt-LT" w:eastAsia="sl-SI"/>
        </w:rPr>
      </w:pPr>
      <w:r w:rsidRPr="00092F97">
        <w:rPr>
          <w:rFonts w:ascii="Times New Roman" w:eastAsia="Times New Roman" w:hAnsi="Times New Roman" w:cs="Times New Roman"/>
          <w:i/>
          <w:szCs w:val="20"/>
          <w:lang w:val="lt-LT" w:eastAsia="sl-SI"/>
        </w:rPr>
        <w:t>Nedažnas šalutinis poveikis: gali pasireikšti mažiau kaip 1 iš 100 žmonių:</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odos išbėrimas, niežėjimas;</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išbėrimas gumbeliais su niežėjimu (dilgėlinė);</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nevirškinimas;</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svaigulys;</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galvos skausmas.</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Nedažnas šalutinis poveikis, kurį gali rodyti kraujo tyrimai:</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tam tikrų medžiagų (fermentų), kurios gaminamos kepenyse, padaugėjimas.</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i/>
          <w:szCs w:val="20"/>
          <w:lang w:val="lt-LT" w:eastAsia="sl-SI"/>
        </w:rPr>
      </w:pPr>
      <w:r w:rsidRPr="00092F97">
        <w:rPr>
          <w:rFonts w:ascii="Times New Roman" w:eastAsia="Times New Roman" w:hAnsi="Times New Roman" w:cs="Times New Roman"/>
          <w:i/>
          <w:szCs w:val="20"/>
          <w:lang w:val="lt-LT" w:eastAsia="sl-SI"/>
        </w:rPr>
        <w:t>Retas šalutinis poveikis: gali pasireikšti mažiau kaip 1 iš 1 000 žmonių:</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odos išbėrimas, kuris gali pasireikšti pūslėmis ar būti panašus į mažus taikinius (viduryje tamsi dėmelė, apsupta blyškesnės srities, kurią supa tamsus žiedas – daugiaformė eritema).</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pastebėjote bet kurį iš šių simptomų, nedelsdami kreipkitės į gydytoją.</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Retas šalutinis poveikis, kurį gali rodyti kraujo tyrimai:</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mažas kraujo ląstelių, kurios dalyvauja kraujo krešėjime, kiekis;</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lastRenderedPageBreak/>
        <w:t>mažas baltųjų kraujo ląstelių kiekis.</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i/>
          <w:szCs w:val="20"/>
          <w:lang w:val="lt-LT" w:eastAsia="sl-SI"/>
        </w:rPr>
      </w:pPr>
      <w:r w:rsidRPr="00092F97">
        <w:rPr>
          <w:rFonts w:ascii="Times New Roman" w:eastAsia="Times New Roman" w:hAnsi="Times New Roman" w:cs="Times New Roman"/>
          <w:i/>
          <w:szCs w:val="20"/>
          <w:lang w:val="lt-LT" w:eastAsia="sl-SI"/>
        </w:rPr>
        <w:t>Dažnis nežinomas: negali būti apskaičiuotas pagal turimus duomenis</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Alerginės reakcijos (žr. anksčiau).</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Storosios žarnos uždegimas (žr. anksčiau).</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Smegenis gaubiančio apsauginio dangalo uždegimas (aseptinis meningitas).</w:t>
      </w:r>
    </w:p>
    <w:p w:rsidR="00092F97" w:rsidRPr="00092F97" w:rsidRDefault="00092F97" w:rsidP="00092F97">
      <w:pPr>
        <w:widowControl w:val="0"/>
        <w:numPr>
          <w:ilvl w:val="0"/>
          <w:numId w:val="7"/>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Sunkios odos reakcijos:</w:t>
      </w:r>
    </w:p>
    <w:p w:rsidR="00092F97" w:rsidRPr="00092F97" w:rsidRDefault="00092F97" w:rsidP="00092F97">
      <w:pPr>
        <w:widowControl w:val="0"/>
        <w:numPr>
          <w:ilvl w:val="0"/>
          <w:numId w:val="8"/>
        </w:numPr>
        <w:spacing w:after="0" w:line="240" w:lineRule="auto"/>
        <w:ind w:left="993" w:right="-2" w:hanging="284"/>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plačiai išplitęs odos išbėrimas, kuris gali pasireikšti pūslėmis ar odos lupimusi, ypač apie burną, nosį, akis ir lytinius organus (</w:t>
      </w:r>
      <w:r w:rsidRPr="00092F97">
        <w:rPr>
          <w:rFonts w:ascii="Times New Roman" w:eastAsia="Times New Roman" w:hAnsi="Times New Roman" w:cs="Times New Roman"/>
          <w:i/>
          <w:szCs w:val="20"/>
          <w:lang w:val="lt-LT" w:eastAsia="sl-SI"/>
        </w:rPr>
        <w:t>Stevens-Johnson sindromas</w:t>
      </w:r>
      <w:r w:rsidRPr="00092F97">
        <w:rPr>
          <w:rFonts w:ascii="Times New Roman" w:eastAsia="Times New Roman" w:hAnsi="Times New Roman" w:cs="Times New Roman"/>
          <w:szCs w:val="20"/>
          <w:lang w:val="lt-LT" w:eastAsia="sl-SI"/>
        </w:rPr>
        <w:t xml:space="preserve">), ir sunkesnėmis formomis, dėl kurių pasireiškia masyvus odos lupimasis (daugiau kaip 30% kūno paviršiaus ploto – </w:t>
      </w:r>
      <w:r w:rsidRPr="00092F97">
        <w:rPr>
          <w:rFonts w:ascii="Times New Roman" w:eastAsia="Times New Roman" w:hAnsi="Times New Roman" w:cs="Times New Roman"/>
          <w:i/>
          <w:szCs w:val="20"/>
          <w:lang w:val="lt-LT" w:eastAsia="sl-SI"/>
        </w:rPr>
        <w:t>toksinė epidermio nekrolizė</w:t>
      </w:r>
      <w:r w:rsidRPr="00092F97">
        <w:rPr>
          <w:rFonts w:ascii="Times New Roman" w:eastAsia="Times New Roman" w:hAnsi="Times New Roman" w:cs="Times New Roman"/>
          <w:szCs w:val="20"/>
          <w:lang w:val="lt-LT" w:eastAsia="sl-SI"/>
        </w:rPr>
        <w:t>);</w:t>
      </w:r>
    </w:p>
    <w:p w:rsidR="00092F97" w:rsidRPr="00092F97" w:rsidRDefault="00092F97" w:rsidP="00092F97">
      <w:pPr>
        <w:widowControl w:val="0"/>
        <w:numPr>
          <w:ilvl w:val="0"/>
          <w:numId w:val="8"/>
        </w:numPr>
        <w:spacing w:after="0" w:line="240" w:lineRule="auto"/>
        <w:ind w:left="993" w:right="-2" w:hanging="284"/>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plačiai išplitęs raudonas odos išbėrimas, pasireiškiantis mažomis pūlingomis pūslėmis (</w:t>
      </w:r>
      <w:r w:rsidRPr="00092F97">
        <w:rPr>
          <w:rFonts w:ascii="Times New Roman" w:eastAsia="Times New Roman" w:hAnsi="Times New Roman" w:cs="Times New Roman"/>
          <w:i/>
          <w:szCs w:val="20"/>
          <w:lang w:val="lt-LT" w:eastAsia="sl-SI"/>
        </w:rPr>
        <w:t>buliozinis (pūslinis) eksfoliacinis dermatitas</w:t>
      </w:r>
      <w:r w:rsidRPr="00092F97">
        <w:rPr>
          <w:rFonts w:ascii="Times New Roman" w:eastAsia="Times New Roman" w:hAnsi="Times New Roman" w:cs="Times New Roman"/>
          <w:szCs w:val="20"/>
          <w:lang w:val="lt-LT" w:eastAsia="sl-SI"/>
        </w:rPr>
        <w:t>);</w:t>
      </w:r>
    </w:p>
    <w:p w:rsidR="00092F97" w:rsidRPr="00092F97" w:rsidRDefault="00092F97" w:rsidP="00092F97">
      <w:pPr>
        <w:widowControl w:val="0"/>
        <w:numPr>
          <w:ilvl w:val="0"/>
          <w:numId w:val="8"/>
        </w:numPr>
        <w:spacing w:after="0" w:line="240" w:lineRule="auto"/>
        <w:ind w:left="993" w:right="-2" w:hanging="284"/>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raudonas, žvynuotas išbėrimas, pasireiškiantis gumbais po oda ir pūslėmis (</w:t>
      </w:r>
      <w:r w:rsidRPr="00092F97">
        <w:rPr>
          <w:rFonts w:ascii="Times New Roman" w:eastAsia="Times New Roman" w:hAnsi="Times New Roman" w:cs="Times New Roman"/>
          <w:i/>
          <w:szCs w:val="20"/>
          <w:lang w:val="lt-LT" w:eastAsia="sl-SI"/>
        </w:rPr>
        <w:t>egzanteminė pustuliozė</w:t>
      </w:r>
      <w:r w:rsidRPr="00092F97">
        <w:rPr>
          <w:rFonts w:ascii="Times New Roman" w:eastAsia="Times New Roman" w:hAnsi="Times New Roman" w:cs="Times New Roman"/>
          <w:szCs w:val="20"/>
          <w:lang w:val="lt-LT" w:eastAsia="sl-SI"/>
        </w:rPr>
        <w:t>);</w:t>
      </w:r>
    </w:p>
    <w:p w:rsidR="00092F97" w:rsidRPr="00092F97" w:rsidRDefault="00092F97" w:rsidP="00092F97">
      <w:pPr>
        <w:widowControl w:val="0"/>
        <w:numPr>
          <w:ilvl w:val="0"/>
          <w:numId w:val="8"/>
        </w:numPr>
        <w:spacing w:after="0" w:line="240" w:lineRule="auto"/>
        <w:ind w:left="993" w:right="-2" w:hanging="284"/>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 xml:space="preserve">į gripą panašūs simptomai, galintys pasireikšti su išbėrimu, karščiavimu, patinusiais limfmazgiais, taip pat nuo normos nukrypę  kraujo tyrimo rezultatai (įskaitant baltųjų kraujo ląstelių kiekio padidėjimą [eozinofiliją] ir kepenų fermentų padidėjimą) (rekaciją į vaistą </w:t>
      </w:r>
      <w:r w:rsidRPr="00092F97">
        <w:rPr>
          <w:rFonts w:ascii="Times New Roman" w:eastAsia="Times New Roman" w:hAnsi="Times New Roman" w:cs="Times New Roman"/>
          <w:bCs/>
          <w:shd w:val="clear" w:color="auto" w:fill="FFFFFF"/>
          <w:lang w:val="lt-LT"/>
        </w:rPr>
        <w:t>eozinofilija</w:t>
      </w:r>
      <w:r w:rsidRPr="00092F97">
        <w:rPr>
          <w:rFonts w:ascii="Times New Roman" w:eastAsia="Times New Roman" w:hAnsi="Times New Roman" w:cs="Times New Roman"/>
          <w:shd w:val="clear" w:color="auto" w:fill="FFFFFF"/>
          <w:lang w:val="lt-LT"/>
        </w:rPr>
        <w:t xml:space="preserve"> ir </w:t>
      </w:r>
      <w:r w:rsidRPr="00092F97">
        <w:rPr>
          <w:rFonts w:ascii="Times New Roman" w:eastAsia="Times New Roman" w:hAnsi="Times New Roman" w:cs="Times New Roman"/>
          <w:bCs/>
          <w:shd w:val="clear" w:color="auto" w:fill="FFFFFF"/>
          <w:lang w:val="lt-LT"/>
        </w:rPr>
        <w:t>sisteminiais simptomais</w:t>
      </w:r>
      <w:r w:rsidRPr="00092F97">
        <w:rPr>
          <w:rFonts w:ascii="Times New Roman" w:eastAsia="Times New Roman" w:hAnsi="Times New Roman" w:cs="Times New Roman"/>
          <w:bCs/>
          <w:i/>
          <w:shd w:val="clear" w:color="auto" w:fill="FFFFFF"/>
          <w:lang w:val="lt-LT"/>
        </w:rPr>
        <w:t xml:space="preserve"> </w:t>
      </w:r>
      <w:r w:rsidRPr="00092F97">
        <w:rPr>
          <w:rFonts w:ascii="Times New Roman" w:eastAsia="Times New Roman" w:hAnsi="Times New Roman" w:cs="Times New Roman"/>
          <w:bCs/>
          <w:color w:val="6A6A6A"/>
          <w:shd w:val="clear" w:color="auto" w:fill="FFFFFF"/>
          <w:lang w:val="lt-LT"/>
        </w:rPr>
        <w:t>[</w:t>
      </w:r>
      <w:r w:rsidRPr="00092F97">
        <w:rPr>
          <w:rFonts w:ascii="Times New Roman" w:eastAsia="Times New Roman" w:hAnsi="Times New Roman" w:cs="Times New Roman"/>
          <w:szCs w:val="20"/>
          <w:lang w:val="lt-LT" w:eastAsia="sl-SI"/>
        </w:rPr>
        <w:t xml:space="preserve">ang. </w:t>
      </w:r>
      <w:r w:rsidRPr="00092F97">
        <w:rPr>
          <w:rFonts w:ascii="Times New Roman" w:eastAsia="Times New Roman" w:hAnsi="Times New Roman" w:cs="Times New Roman"/>
          <w:i/>
          <w:szCs w:val="20"/>
          <w:lang w:val="lt-LT" w:eastAsia="sl-SI"/>
        </w:rPr>
        <w:t>DRESS</w:t>
      </w:r>
      <w:r w:rsidRPr="00092F97">
        <w:rPr>
          <w:rFonts w:ascii="Times New Roman" w:eastAsia="Times New Roman" w:hAnsi="Times New Roman" w:cs="Times New Roman"/>
          <w:szCs w:val="20"/>
          <w:lang w:val="lt-LT" w:eastAsia="sl-SI"/>
        </w:rPr>
        <w:t>]).</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b/>
          <w:szCs w:val="20"/>
          <w:lang w:val="lt-LT" w:eastAsia="sl-SI"/>
        </w:rPr>
        <w:t>Jeigu pasireiškė bet kuris iš nurodytų simptomų, nedelsdami kreipkitės į gydytoją</w:t>
      </w:r>
      <w:r w:rsidRPr="00092F97">
        <w:rPr>
          <w:rFonts w:ascii="Times New Roman" w:eastAsia="Times New Roman" w:hAnsi="Times New Roman" w:cs="Times New Roman"/>
          <w:szCs w:val="20"/>
          <w:lang w:val="lt-LT" w:eastAsia="sl-SI"/>
        </w:rPr>
        <w:t>.</w:t>
      </w:r>
    </w:p>
    <w:p w:rsidR="00092F97" w:rsidRPr="00092F97" w:rsidRDefault="00092F97" w:rsidP="00092F97">
      <w:pPr>
        <w:widowControl w:val="0"/>
        <w:numPr>
          <w:ilvl w:val="0"/>
          <w:numId w:val="9"/>
        </w:numPr>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Kepenų uždegimas (</w:t>
      </w:r>
      <w:r w:rsidRPr="00092F97">
        <w:rPr>
          <w:rFonts w:ascii="Times New Roman" w:eastAsia="Times New Roman" w:hAnsi="Times New Roman" w:cs="Times New Roman"/>
          <w:i/>
          <w:szCs w:val="20"/>
          <w:lang w:val="lt-LT" w:eastAsia="sl-SI"/>
        </w:rPr>
        <w:t>hepatitas</w:t>
      </w:r>
      <w:r w:rsidRPr="00092F97">
        <w:rPr>
          <w:rFonts w:ascii="Times New Roman" w:eastAsia="Times New Roman" w:hAnsi="Times New Roman" w:cs="Times New Roman"/>
          <w:szCs w:val="20"/>
          <w:lang w:val="lt-LT" w:eastAsia="sl-SI"/>
        </w:rPr>
        <w:t>).</w:t>
      </w:r>
    </w:p>
    <w:p w:rsidR="00092F97" w:rsidRPr="00092F97" w:rsidRDefault="00092F97" w:rsidP="00092F97">
      <w:pPr>
        <w:widowControl w:val="0"/>
        <w:numPr>
          <w:ilvl w:val="0"/>
          <w:numId w:val="9"/>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Bilirubino (kepenyse gaminamos medžiagos) padaugėjimo kraujyje sukelta liga, kuri gali pasireikšti odos ir akių baltymų pageltimu.</w:t>
      </w:r>
    </w:p>
    <w:p w:rsidR="00092F97" w:rsidRPr="00092F97" w:rsidRDefault="00092F97" w:rsidP="00092F97">
      <w:pPr>
        <w:widowControl w:val="0"/>
        <w:numPr>
          <w:ilvl w:val="0"/>
          <w:numId w:val="9"/>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Inkstų kanalėlių uždegimas.</w:t>
      </w:r>
    </w:p>
    <w:p w:rsidR="00092F97" w:rsidRPr="00092F97" w:rsidRDefault="00092F97" w:rsidP="00092F97">
      <w:pPr>
        <w:widowControl w:val="0"/>
        <w:numPr>
          <w:ilvl w:val="0"/>
          <w:numId w:val="9"/>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Kraujo krešėjimo laiko pailgėjimas.</w:t>
      </w:r>
    </w:p>
    <w:p w:rsidR="00092F97" w:rsidRPr="00092F97" w:rsidRDefault="00092F97" w:rsidP="00092F97">
      <w:pPr>
        <w:widowControl w:val="0"/>
        <w:numPr>
          <w:ilvl w:val="0"/>
          <w:numId w:val="9"/>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Pernelyg didelis aktyvumas.</w:t>
      </w:r>
    </w:p>
    <w:p w:rsidR="00092F97" w:rsidRPr="00092F97" w:rsidRDefault="00092F97" w:rsidP="00092F97">
      <w:pPr>
        <w:widowControl w:val="0"/>
        <w:numPr>
          <w:ilvl w:val="0"/>
          <w:numId w:val="9"/>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Traukuliai (dideles amoksicilino/klavulano rūgšties dozes vartojantiems ar inkstų sutrikimais sergantiems žmonėms).</w:t>
      </w:r>
    </w:p>
    <w:p w:rsidR="00092F97" w:rsidRPr="00092F97" w:rsidRDefault="00092F97" w:rsidP="00092F97">
      <w:pPr>
        <w:widowControl w:val="0"/>
        <w:numPr>
          <w:ilvl w:val="0"/>
          <w:numId w:val="9"/>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Juodas liežuvis, kuris atrodo tarsi gauruotas.</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Šalutinis poveikis, kurį gali rodyti kraujo ar šlapimo tyrimai:</w:t>
      </w:r>
    </w:p>
    <w:p w:rsidR="00092F97" w:rsidRPr="00092F97" w:rsidRDefault="00092F97" w:rsidP="00092F97">
      <w:pPr>
        <w:widowControl w:val="0"/>
        <w:numPr>
          <w:ilvl w:val="0"/>
          <w:numId w:val="1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sunkus baltųjų kraujo ląstelių kiekio sumažėjimas;</w:t>
      </w:r>
    </w:p>
    <w:p w:rsidR="00092F97" w:rsidRPr="00092F97" w:rsidRDefault="00092F97" w:rsidP="00092F97">
      <w:pPr>
        <w:widowControl w:val="0"/>
        <w:numPr>
          <w:ilvl w:val="0"/>
          <w:numId w:val="1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mažas raudonųjų kraujo ląstelių kiekis (</w:t>
      </w:r>
      <w:r w:rsidRPr="00092F97">
        <w:rPr>
          <w:rFonts w:ascii="Times New Roman" w:eastAsia="Times New Roman" w:hAnsi="Times New Roman" w:cs="Times New Roman"/>
          <w:i/>
          <w:szCs w:val="20"/>
          <w:lang w:val="lt-LT" w:eastAsia="sl-SI"/>
        </w:rPr>
        <w:t>hemolizinė anemija</w:t>
      </w:r>
      <w:r w:rsidRPr="00092F97">
        <w:rPr>
          <w:rFonts w:ascii="Times New Roman" w:eastAsia="Times New Roman" w:hAnsi="Times New Roman" w:cs="Times New Roman"/>
          <w:szCs w:val="20"/>
          <w:lang w:val="lt-LT" w:eastAsia="sl-SI"/>
        </w:rPr>
        <w:t>);</w:t>
      </w:r>
    </w:p>
    <w:p w:rsidR="00092F97" w:rsidRPr="00092F97" w:rsidRDefault="00092F97" w:rsidP="00092F97">
      <w:pPr>
        <w:widowControl w:val="0"/>
        <w:numPr>
          <w:ilvl w:val="0"/>
          <w:numId w:val="1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kristalai šlapime.</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Pranešimas apie šalutinį poveikį</w:t>
      </w:r>
    </w:p>
    <w:p w:rsidR="00092F97" w:rsidRPr="00092F97" w:rsidRDefault="00092F97" w:rsidP="00092F97">
      <w:pPr>
        <w:widowControl w:val="0"/>
        <w:tabs>
          <w:tab w:val="left" w:pos="567"/>
        </w:tabs>
        <w:snapToGrid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092F97" w:rsidRPr="00092F97" w:rsidRDefault="00092F97" w:rsidP="00092F97">
      <w:pPr>
        <w:widowControl w:val="0"/>
        <w:numPr>
          <w:ilvl w:val="12"/>
          <w:numId w:val="0"/>
        </w:numPr>
        <w:spacing w:after="0" w:line="240" w:lineRule="auto"/>
        <w:ind w:left="567" w:right="-2" w:hanging="567"/>
        <w:rPr>
          <w:rFonts w:ascii="Times New Roman" w:eastAsia="Times New Roman" w:hAnsi="Times New Roman" w:cs="Times New Roman"/>
          <w:szCs w:val="20"/>
          <w:lang w:val="lt-LT" w:eastAsia="sl-SI"/>
        </w:rPr>
      </w:pPr>
      <w:r w:rsidRPr="00092F97">
        <w:rPr>
          <w:rFonts w:ascii="Times New Roman" w:eastAsia="Times New Roman" w:hAnsi="Times New Roman" w:cs="Times New Roman"/>
          <w:b/>
          <w:szCs w:val="20"/>
          <w:lang w:val="lt-LT" w:eastAsia="sl-SI"/>
        </w:rPr>
        <w:t>5.</w:t>
      </w:r>
      <w:r w:rsidRPr="00092F97">
        <w:rPr>
          <w:rFonts w:ascii="Times New Roman" w:eastAsia="Times New Roman" w:hAnsi="Times New Roman" w:cs="Times New Roman"/>
          <w:b/>
          <w:szCs w:val="20"/>
          <w:lang w:val="lt-LT" w:eastAsia="sl-SI"/>
        </w:rPr>
        <w:tab/>
        <w:t>Kaip laikyti Betaklav</w:t>
      </w:r>
    </w:p>
    <w:p w:rsidR="00092F97" w:rsidRPr="00092F97" w:rsidRDefault="00092F97" w:rsidP="00092F97">
      <w:pPr>
        <w:widowControl w:val="0"/>
        <w:numPr>
          <w:ilvl w:val="12"/>
          <w:numId w:val="0"/>
        </w:numPr>
        <w:spacing w:after="0" w:line="240" w:lineRule="auto"/>
        <w:ind w:left="567" w:right="-2" w:hanging="567"/>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Šį vaistą laikykite vaikams nepastebimoje ir nepasiekiamoje vietoje.</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Ant pakuotės po „Tinka iki“ arba „EXP“ nurodytam tinkamumo laikui pasibaigus, šio vaisto vartoti negalima. Vaistas tinkamas vartoti iki paskutinės nurodyto mėnesio dienos.</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tabs>
          <w:tab w:val="left" w:pos="567"/>
        </w:tabs>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Dvisluoksnė juostelė</w:t>
      </w:r>
    </w:p>
    <w:p w:rsidR="00092F97" w:rsidRPr="00092F97" w:rsidRDefault="00092F97" w:rsidP="00092F97">
      <w:pPr>
        <w:widowControl w:val="0"/>
        <w:tabs>
          <w:tab w:val="left" w:pos="567"/>
        </w:tabs>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lastRenderedPageBreak/>
        <w:t>Laikyti ne aukštesnėje kaip 25 °C temperatūroje.</w:t>
      </w:r>
    </w:p>
    <w:p w:rsidR="00092F97" w:rsidRPr="00092F97" w:rsidRDefault="00092F97" w:rsidP="00092F97">
      <w:pPr>
        <w:widowControl w:val="0"/>
        <w:tabs>
          <w:tab w:val="left" w:pos="567"/>
        </w:tabs>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Lizdinė plokštelė</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Laikyti ne aukštesnėje kaip 25 °C temperatūroje.</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Laikyti gamintojo pakuotėje, kad vaistas būtų apsaugotas nuo drėgmės.</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Vaistų negalima išmesti į kanalizaciją arba su buitinėmis atliekomis. Kaip išmesti nereikalingus vaistus, klauskite vaistininko. Šios priemonės padės apsaugoti aplinką.</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left="567" w:right="-2" w:hanging="567"/>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6.</w:t>
      </w:r>
      <w:r w:rsidRPr="00092F97">
        <w:rPr>
          <w:rFonts w:ascii="Times New Roman" w:eastAsia="Times New Roman" w:hAnsi="Times New Roman" w:cs="Times New Roman"/>
          <w:b/>
          <w:szCs w:val="20"/>
          <w:lang w:val="lt-LT" w:eastAsia="sl-SI"/>
        </w:rPr>
        <w:tab/>
        <w:t>Pakuotės turinys ir kita informacija</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Betaklav sudėtis</w:t>
      </w:r>
    </w:p>
    <w:p w:rsidR="00092F97" w:rsidRPr="00092F97" w:rsidRDefault="00092F97" w:rsidP="00092F97">
      <w:pPr>
        <w:widowControl w:val="0"/>
        <w:numPr>
          <w:ilvl w:val="0"/>
          <w:numId w:val="11"/>
        </w:numPr>
        <w:spacing w:after="0" w:line="260" w:lineRule="exact"/>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Veikliosios medžiagos yra amoksicilinas ir klavulano rūgštis.</w:t>
      </w:r>
    </w:p>
    <w:p w:rsidR="00092F97" w:rsidRPr="00092F97" w:rsidRDefault="00092F97" w:rsidP="00092F97">
      <w:pPr>
        <w:widowControl w:val="0"/>
        <w:spacing w:after="0" w:line="240" w:lineRule="auto"/>
        <w:ind w:left="567"/>
        <w:rPr>
          <w:rFonts w:ascii="Times New Roman" w:eastAsia="Times New Roman" w:hAnsi="Times New Roman" w:cs="Times New Roman"/>
          <w:szCs w:val="20"/>
          <w:u w:val="single"/>
          <w:lang w:val="lt-LT" w:eastAsia="sl-SI"/>
        </w:rPr>
      </w:pPr>
      <w:r w:rsidRPr="00092F97">
        <w:rPr>
          <w:rFonts w:ascii="Times New Roman" w:eastAsia="Times New Roman" w:hAnsi="Times New Roman" w:cs="Times New Roman"/>
          <w:szCs w:val="20"/>
          <w:highlight w:val="lightGray"/>
          <w:u w:val="single"/>
          <w:lang w:val="lt-LT" w:eastAsia="sl-SI"/>
        </w:rPr>
        <w:t>Betaklav 500 mg/125 mg plėvele dengtos tabletės</w:t>
      </w:r>
    </w:p>
    <w:p w:rsidR="00092F97" w:rsidRPr="00092F97" w:rsidRDefault="00092F97" w:rsidP="00092F97">
      <w:pPr>
        <w:widowControl w:val="0"/>
        <w:spacing w:after="0" w:line="240" w:lineRule="auto"/>
        <w:ind w:left="567"/>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Kiekvienoje plėvele dengtoje tabletėje yra 500 mg amoksicilino (amoksicilino trihidrato pavidalu) ir 125 mg klavulano rūgšties (kalio klavulanato pavidalu).</w:t>
      </w:r>
    </w:p>
    <w:p w:rsidR="00092F97" w:rsidRPr="00092F97" w:rsidRDefault="00092F97" w:rsidP="00092F97">
      <w:pPr>
        <w:widowControl w:val="0"/>
        <w:spacing w:after="0" w:line="240" w:lineRule="auto"/>
        <w:ind w:left="567"/>
        <w:rPr>
          <w:rFonts w:ascii="Times New Roman" w:eastAsia="Times New Roman" w:hAnsi="Times New Roman" w:cs="Times New Roman"/>
          <w:szCs w:val="20"/>
          <w:u w:val="single"/>
          <w:lang w:val="lt-LT" w:eastAsia="sl-SI"/>
        </w:rPr>
      </w:pPr>
      <w:r w:rsidRPr="00092F97">
        <w:rPr>
          <w:rFonts w:ascii="Times New Roman" w:eastAsia="Times New Roman" w:hAnsi="Times New Roman" w:cs="Times New Roman"/>
          <w:szCs w:val="20"/>
          <w:highlight w:val="lightGray"/>
          <w:u w:val="single"/>
          <w:lang w:val="lt-LT" w:eastAsia="sl-SI"/>
        </w:rPr>
        <w:t>Betaklav 875 mg/125 mg plėvele dengtos tabletės</w:t>
      </w:r>
    </w:p>
    <w:p w:rsidR="00092F97" w:rsidRPr="00092F97" w:rsidRDefault="00092F97" w:rsidP="00092F97">
      <w:pPr>
        <w:widowControl w:val="0"/>
        <w:spacing w:after="0" w:line="240" w:lineRule="auto"/>
        <w:ind w:left="567"/>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highlight w:val="lightGray"/>
          <w:lang w:val="lt-LT" w:eastAsia="sl-SI"/>
        </w:rPr>
        <w:t>Kiekvienoje plėvele dengtoje tabletėje yra 875 mg amoksicilino (amoksicilino trihidrato pavidalu) ir 125 mg klavulano rūgšties (kalio klavulanato pavidalu).</w:t>
      </w:r>
    </w:p>
    <w:p w:rsidR="00092F97" w:rsidRPr="00092F97" w:rsidRDefault="00092F97" w:rsidP="00092F97">
      <w:pPr>
        <w:widowControl w:val="0"/>
        <w:numPr>
          <w:ilvl w:val="0"/>
          <w:numId w:val="11"/>
        </w:numPr>
        <w:spacing w:after="0" w:line="260" w:lineRule="exact"/>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Pagalbinės medžiagos yra mikrokristalinė celiuliozė (E460), karboksimetilkrakmolo A natrio druska, bevandenis koloidinis silicio dioksidas (E551) ir magnio stearatas (E470b) (tabletės šerdis) bei titano dioksidas (E171), hipromeliozė (E464) ir makrogolis (plėvelė).</w:t>
      </w:r>
    </w:p>
    <w:p w:rsidR="00092F97" w:rsidRPr="00092F97" w:rsidRDefault="00092F97" w:rsidP="00092F97">
      <w:pPr>
        <w:widowControl w:val="0"/>
        <w:spacing w:after="0" w:line="240" w:lineRule="auto"/>
        <w:rPr>
          <w:rFonts w:ascii="Times New Roman" w:eastAsia="Times New Roman" w:hAnsi="Times New Roman" w:cs="Times New Roman"/>
          <w:szCs w:val="20"/>
          <w:highlight w:val="lightGray"/>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Betaklav išvaizda ir kiekis pakuotėje</w:t>
      </w:r>
    </w:p>
    <w:p w:rsidR="00092F97" w:rsidRPr="00092F97" w:rsidRDefault="00092F97" w:rsidP="00092F97">
      <w:pPr>
        <w:widowControl w:val="0"/>
        <w:spacing w:after="0" w:line="240" w:lineRule="auto"/>
        <w:rPr>
          <w:rFonts w:ascii="Times New Roman" w:eastAsia="Times New Roman" w:hAnsi="Times New Roman" w:cs="Times New Roman"/>
          <w:szCs w:val="20"/>
          <w:u w:val="single"/>
          <w:lang w:val="lt-LT" w:eastAsia="sl-SI"/>
        </w:rPr>
      </w:pPr>
      <w:r w:rsidRPr="00092F97">
        <w:rPr>
          <w:rFonts w:ascii="Times New Roman" w:eastAsia="Times New Roman" w:hAnsi="Times New Roman" w:cs="Times New Roman"/>
          <w:szCs w:val="20"/>
          <w:highlight w:val="lightGray"/>
          <w:u w:val="single"/>
          <w:lang w:val="lt-LT" w:eastAsia="sl-SI"/>
        </w:rPr>
        <w:t>Betaklav 500 mg/125 mg plėvele dengtos tabletės</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Baltos spalvos, kapsulės formos, plėvele dengtos tabletės (tabletės), vienoje pusėje įspausta „I 06“, kita pusė lygi, tabletės ilgis yra 19,40 ± 0,10 mm.</w:t>
      </w:r>
    </w:p>
    <w:p w:rsidR="00092F97" w:rsidRPr="00092F97" w:rsidRDefault="00092F97" w:rsidP="00092F97">
      <w:pPr>
        <w:widowControl w:val="0"/>
        <w:spacing w:after="0" w:line="240" w:lineRule="auto"/>
        <w:rPr>
          <w:rFonts w:ascii="Times New Roman" w:eastAsia="Times New Roman" w:hAnsi="Times New Roman" w:cs="Times New Roman"/>
          <w:szCs w:val="20"/>
          <w:u w:val="single"/>
          <w:lang w:val="lt-LT" w:eastAsia="sl-SI"/>
        </w:rPr>
      </w:pPr>
      <w:r w:rsidRPr="00092F97">
        <w:rPr>
          <w:rFonts w:ascii="Times New Roman" w:eastAsia="Times New Roman" w:hAnsi="Times New Roman" w:cs="Times New Roman"/>
          <w:szCs w:val="20"/>
          <w:highlight w:val="lightGray"/>
          <w:u w:val="single"/>
          <w:lang w:val="lt-LT" w:eastAsia="sl-SI"/>
        </w:rPr>
        <w:t>Betaklav 875 mg/125 mg plėvele dengtos tabletės</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highlight w:val="lightGray"/>
          <w:lang w:val="lt-LT" w:eastAsia="sl-SI"/>
        </w:rPr>
        <w:t>Baltos spalvos, kapsulės formos, plėvele dengtos tabletės (tabletės), vienoje pusėje įspausta „I 07“, kita pusė lygi, tabletės ilgis yra 21,70 ± 0,10 mm.</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szCs w:val="20"/>
          <w:highlight w:val="lightGray"/>
          <w:lang w:val="lt-LT" w:eastAsia="sl-SI"/>
        </w:rPr>
      </w:pPr>
      <w:r w:rsidRPr="00092F97">
        <w:rPr>
          <w:rFonts w:ascii="Times New Roman" w:eastAsia="Times New Roman" w:hAnsi="Times New Roman" w:cs="Times New Roman"/>
          <w:szCs w:val="20"/>
          <w:lang w:val="lt-LT" w:eastAsia="sl-SI"/>
        </w:rPr>
        <w:t>Betaklav tiekiamas dėžutėmis po</w:t>
      </w:r>
      <w:r w:rsidRPr="00092F97">
        <w:rPr>
          <w:rFonts w:ascii="Times New Roman" w:eastAsia="Times New Roman" w:hAnsi="Times New Roman" w:cs="Times New Roman"/>
          <w:lang w:val="lt-LT" w:eastAsia="lt-LT"/>
        </w:rPr>
        <w:t>:</w:t>
      </w:r>
    </w:p>
    <w:p w:rsidR="00092F97" w:rsidRPr="00092F97" w:rsidRDefault="00092F97" w:rsidP="00092F97">
      <w:pPr>
        <w:widowControl w:val="0"/>
        <w:numPr>
          <w:ilvl w:val="0"/>
          <w:numId w:val="12"/>
        </w:numPr>
        <w:spacing w:after="0" w:line="240" w:lineRule="auto"/>
        <w:rPr>
          <w:rFonts w:ascii="Times New Roman" w:eastAsia="Times New Roman" w:hAnsi="Times New Roman" w:cs="Times New Roman"/>
          <w:bCs/>
          <w:lang w:val="lt-LT" w:eastAsia="lt-LT"/>
        </w:rPr>
      </w:pPr>
      <w:r w:rsidRPr="00092F97">
        <w:rPr>
          <w:rFonts w:ascii="Times New Roman" w:eastAsia="Times New Roman" w:hAnsi="Times New Roman" w:cs="Times New Roman"/>
          <w:lang w:val="lt-LT" w:eastAsia="lt-LT"/>
        </w:rPr>
        <w:t xml:space="preserve">10, 12, 14, 16, 20, 21, 24, 30, 100 arba 500 </w:t>
      </w:r>
      <w:r w:rsidRPr="00092F97">
        <w:rPr>
          <w:rFonts w:ascii="Times New Roman" w:eastAsia="Times New Roman" w:hAnsi="Times New Roman" w:cs="Times New Roman"/>
          <w:lang w:val="lt-LT"/>
        </w:rPr>
        <w:t>plėvele dengtų tablečių dvisluoksnėse juostelėse.</w:t>
      </w:r>
    </w:p>
    <w:p w:rsidR="00092F97" w:rsidRPr="00092F97" w:rsidRDefault="00092F97" w:rsidP="00092F97">
      <w:pPr>
        <w:widowControl w:val="0"/>
        <w:numPr>
          <w:ilvl w:val="0"/>
          <w:numId w:val="12"/>
        </w:numPr>
        <w:spacing w:after="0" w:line="240" w:lineRule="auto"/>
        <w:contextualSpacing/>
        <w:rPr>
          <w:rFonts w:ascii="Times New Roman" w:eastAsia="Times New Roman" w:hAnsi="Times New Roman" w:cs="Times New Roman"/>
          <w:bCs/>
          <w:lang w:val="lt-LT" w:eastAsia="lt-LT"/>
        </w:rPr>
      </w:pPr>
      <w:r w:rsidRPr="00092F97">
        <w:rPr>
          <w:rFonts w:ascii="Times New Roman" w:eastAsia="Times New Roman" w:hAnsi="Times New Roman" w:cs="Times New Roman"/>
          <w:lang w:val="lt-LT" w:eastAsia="lt-LT"/>
        </w:rPr>
        <w:t xml:space="preserve">10, 12, 14, 16, 20, 21, 24, 30, 100 arba 500 </w:t>
      </w:r>
      <w:r w:rsidRPr="00092F97">
        <w:rPr>
          <w:rFonts w:ascii="Times New Roman" w:eastAsia="Times New Roman" w:hAnsi="Times New Roman" w:cs="Times New Roman"/>
          <w:lang w:val="lt-LT"/>
        </w:rPr>
        <w:t>plėvele dengtų tablečių lizdinėse plokštelėse.</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Gali būti tiekiamos ne visų dydžių pakuotės.</w:t>
      </w:r>
    </w:p>
    <w:p w:rsidR="00092F97" w:rsidRPr="00092F97" w:rsidRDefault="00092F97" w:rsidP="00092F97">
      <w:pPr>
        <w:widowControl w:val="0"/>
        <w:spacing w:after="0" w:line="240" w:lineRule="auto"/>
        <w:rPr>
          <w:rFonts w:ascii="Times New Roman" w:eastAsia="Times New Roman" w:hAnsi="Times New Roman" w:cs="Times New Roman"/>
          <w:szCs w:val="20"/>
          <w:highlight w:val="lightGray"/>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Registruotojas ir gamintojas</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i/>
          <w:szCs w:val="20"/>
          <w:lang w:val="lt-LT" w:eastAsia="sl-SI"/>
        </w:rPr>
      </w:pPr>
      <w:r w:rsidRPr="00092F97">
        <w:rPr>
          <w:rFonts w:ascii="Times New Roman" w:eastAsia="Times New Roman" w:hAnsi="Times New Roman" w:cs="Times New Roman"/>
          <w:i/>
          <w:szCs w:val="20"/>
          <w:lang w:val="lt-LT" w:eastAsia="sl-SI"/>
        </w:rPr>
        <w:t>Registruotojas</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KRKA, d. d., Novo mesto</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Šmarješka cesta 6</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8501 Novo mesto</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Slovėnija</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i/>
          <w:szCs w:val="20"/>
          <w:lang w:val="lt-LT" w:eastAsia="sl-SI"/>
        </w:rPr>
      </w:pPr>
      <w:r w:rsidRPr="00092F97">
        <w:rPr>
          <w:rFonts w:ascii="Times New Roman" w:eastAsia="Times New Roman" w:hAnsi="Times New Roman" w:cs="Times New Roman"/>
          <w:i/>
          <w:szCs w:val="20"/>
          <w:lang w:val="lt-LT" w:eastAsia="sl-SI"/>
        </w:rPr>
        <w:t>Gamintojai</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KRKA, d. d., Novo mesto</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Šmarješka cesta 6</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8501 Novo mesto</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Slovėnija</w:t>
      </w:r>
    </w:p>
    <w:p w:rsidR="00092F97" w:rsidRPr="00092F97" w:rsidRDefault="00092F97" w:rsidP="00092F97">
      <w:pPr>
        <w:widowControl w:val="0"/>
        <w:tabs>
          <w:tab w:val="left" w:pos="567"/>
        </w:tabs>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tabs>
          <w:tab w:val="left" w:pos="567"/>
        </w:tabs>
        <w:spacing w:after="0" w:line="240" w:lineRule="auto"/>
        <w:jc w:val="both"/>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lastRenderedPageBreak/>
        <w:t>arba</w:t>
      </w:r>
    </w:p>
    <w:p w:rsidR="00092F97" w:rsidRPr="00092F97" w:rsidRDefault="00092F97" w:rsidP="00092F97">
      <w:pPr>
        <w:widowControl w:val="0"/>
        <w:tabs>
          <w:tab w:val="left" w:pos="567"/>
        </w:tabs>
        <w:spacing w:after="0" w:line="240" w:lineRule="auto"/>
        <w:jc w:val="both"/>
        <w:rPr>
          <w:rFonts w:ascii="Times New Roman" w:eastAsia="Times New Roman" w:hAnsi="Times New Roman" w:cs="Times New Roman"/>
          <w:szCs w:val="20"/>
          <w:lang w:val="lt-LT" w:eastAsia="sl-SI"/>
        </w:rPr>
      </w:pPr>
    </w:p>
    <w:p w:rsidR="00092F97" w:rsidRPr="00092F97" w:rsidRDefault="00092F97" w:rsidP="00092F97">
      <w:pPr>
        <w:spacing w:after="0" w:line="240" w:lineRule="auto"/>
        <w:rPr>
          <w:rFonts w:ascii="Times New Roman" w:eastAsia="TimesNewRoman" w:hAnsi="Times New Roman" w:cs="Times New Roman"/>
          <w:szCs w:val="20"/>
          <w:lang w:val="lt-LT" w:eastAsia="sl-SI"/>
        </w:rPr>
      </w:pPr>
      <w:r w:rsidRPr="00092F97">
        <w:rPr>
          <w:rFonts w:ascii="Times New Roman" w:eastAsia="TimesNewRoman" w:hAnsi="Times New Roman" w:cs="Times New Roman"/>
          <w:szCs w:val="20"/>
          <w:lang w:val="lt-LT" w:eastAsia="sl-SI"/>
        </w:rPr>
        <w:t>TAD Pharma GmbH</w:t>
      </w:r>
    </w:p>
    <w:p w:rsidR="00092F97" w:rsidRPr="00092F97" w:rsidRDefault="00092F97" w:rsidP="00092F97">
      <w:pPr>
        <w:spacing w:after="0" w:line="240" w:lineRule="auto"/>
        <w:rPr>
          <w:rFonts w:ascii="Times New Roman" w:eastAsia="TimesNewRoman" w:hAnsi="Times New Roman" w:cs="Times New Roman"/>
          <w:szCs w:val="20"/>
          <w:lang w:val="lt-LT" w:eastAsia="sl-SI"/>
        </w:rPr>
      </w:pPr>
      <w:r w:rsidRPr="00092F97">
        <w:rPr>
          <w:rFonts w:ascii="Times New Roman" w:eastAsia="TimesNewRoman" w:hAnsi="Times New Roman" w:cs="Times New Roman"/>
          <w:szCs w:val="20"/>
          <w:lang w:val="lt-LT" w:eastAsia="sl-SI"/>
        </w:rPr>
        <w:t>Heinz-Lohmann-Straße 5</w:t>
      </w:r>
    </w:p>
    <w:p w:rsidR="00092F97" w:rsidRPr="00092F97" w:rsidRDefault="00092F97" w:rsidP="00092F97">
      <w:pPr>
        <w:widowControl w:val="0"/>
        <w:tabs>
          <w:tab w:val="left" w:pos="567"/>
        </w:tabs>
        <w:spacing w:after="0" w:line="240" w:lineRule="auto"/>
        <w:jc w:val="both"/>
        <w:rPr>
          <w:rFonts w:ascii="Times New Roman" w:eastAsia="TimesNewRoman" w:hAnsi="Times New Roman" w:cs="Times New Roman"/>
          <w:szCs w:val="20"/>
          <w:lang w:val="lt-LT" w:eastAsia="sl-SI"/>
        </w:rPr>
      </w:pPr>
      <w:r w:rsidRPr="00092F97">
        <w:rPr>
          <w:rFonts w:ascii="Times New Roman" w:eastAsia="TimesNewRoman" w:hAnsi="Times New Roman" w:cs="Times New Roman"/>
          <w:szCs w:val="20"/>
          <w:lang w:val="lt-LT" w:eastAsia="sl-SI"/>
        </w:rPr>
        <w:t>27472 Cuxhaven</w:t>
      </w:r>
    </w:p>
    <w:p w:rsidR="00092F97" w:rsidRPr="00092F97" w:rsidRDefault="00092F97" w:rsidP="00092F97">
      <w:pPr>
        <w:widowControl w:val="0"/>
        <w:tabs>
          <w:tab w:val="left" w:pos="567"/>
        </w:tabs>
        <w:spacing w:after="0" w:line="240" w:lineRule="auto"/>
        <w:jc w:val="both"/>
        <w:rPr>
          <w:rFonts w:ascii="Times New Roman" w:eastAsia="TimesNewRoman" w:hAnsi="Times New Roman" w:cs="Times New Roman"/>
          <w:szCs w:val="20"/>
          <w:lang w:val="lt-LT" w:eastAsia="sl-SI"/>
        </w:rPr>
      </w:pPr>
      <w:r w:rsidRPr="00092F97">
        <w:rPr>
          <w:rFonts w:ascii="Times New Roman" w:eastAsia="TimesNewRoman" w:hAnsi="Times New Roman" w:cs="Times New Roman"/>
          <w:szCs w:val="20"/>
          <w:lang w:val="lt-LT" w:eastAsia="sl-SI"/>
        </w:rPr>
        <w:t>Vokietija</w:t>
      </w:r>
    </w:p>
    <w:p w:rsidR="00092F97" w:rsidRPr="00092F97" w:rsidRDefault="00092F97" w:rsidP="00092F97">
      <w:pPr>
        <w:widowControl w:val="0"/>
        <w:spacing w:after="0" w:line="240" w:lineRule="auto"/>
        <w:ind w:left="567" w:hanging="567"/>
        <w:rPr>
          <w:rFonts w:ascii="Times New Roman" w:eastAsia="Times New Roman" w:hAnsi="Times New Roman" w:cs="Times New Roman"/>
          <w:szCs w:val="20"/>
          <w:lang w:val="lt-LT" w:eastAsia="sl-SI"/>
        </w:rPr>
      </w:pP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r w:rsidRPr="00092F97">
        <w:rPr>
          <w:rFonts w:ascii="Times New Roman" w:eastAsia="Times New Roman" w:hAnsi="Times New Roman" w:cs="Times New Roman"/>
          <w:szCs w:val="20"/>
          <w:lang w:val="lt-LT" w:eastAsia="sl-SI"/>
        </w:rPr>
        <w:t>Jeigu apie šį vaistą norite sužinoti daugiau, kreipkitės į vietinį registruotojo atstovą.</w:t>
      </w:r>
    </w:p>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p>
    <w:tbl>
      <w:tblPr>
        <w:tblW w:w="4680" w:type="dxa"/>
        <w:tblInd w:w="-34" w:type="dxa"/>
        <w:tblLayout w:type="fixed"/>
        <w:tblLook w:val="04A0" w:firstRow="1" w:lastRow="0" w:firstColumn="1" w:lastColumn="0" w:noHBand="0" w:noVBand="1"/>
      </w:tblPr>
      <w:tblGrid>
        <w:gridCol w:w="4680"/>
      </w:tblGrid>
      <w:tr w:rsidR="00092F97" w:rsidRPr="00092F97" w:rsidTr="0005484C">
        <w:tc>
          <w:tcPr>
            <w:tcW w:w="4678" w:type="dxa"/>
            <w:hideMark/>
          </w:tcPr>
          <w:p w:rsidR="00092F97" w:rsidRPr="00092F97" w:rsidRDefault="00092F97" w:rsidP="00092F97">
            <w:pPr>
              <w:widowControl w:val="0"/>
              <w:spacing w:after="0" w:line="240" w:lineRule="auto"/>
              <w:rPr>
                <w:rFonts w:ascii="Times New Roman" w:eastAsia="SimSun" w:hAnsi="Times New Roman" w:cs="Times New Roman"/>
                <w:szCs w:val="20"/>
                <w:lang w:val="sl-SI" w:eastAsia="sl-SI"/>
              </w:rPr>
            </w:pPr>
            <w:r w:rsidRPr="00092F97">
              <w:rPr>
                <w:rFonts w:ascii="Times New Roman" w:eastAsia="SimSun" w:hAnsi="Times New Roman" w:cs="Times New Roman"/>
                <w:szCs w:val="20"/>
                <w:lang w:val="sl-SI" w:eastAsia="sl-SI"/>
              </w:rPr>
              <w:t>UAB KRKA Lietuva</w:t>
            </w:r>
          </w:p>
          <w:p w:rsidR="00092F97" w:rsidRPr="00092F97" w:rsidRDefault="00092F97" w:rsidP="00092F97">
            <w:pPr>
              <w:widowControl w:val="0"/>
              <w:spacing w:after="0" w:line="240" w:lineRule="auto"/>
              <w:rPr>
                <w:rFonts w:ascii="Times New Roman" w:eastAsia="SimSun" w:hAnsi="Times New Roman" w:cs="Times New Roman"/>
                <w:szCs w:val="20"/>
                <w:lang w:val="sl-SI" w:eastAsia="sl-SI"/>
              </w:rPr>
            </w:pPr>
            <w:r w:rsidRPr="00092F97">
              <w:rPr>
                <w:rFonts w:ascii="Times New Roman" w:eastAsia="SimSun" w:hAnsi="Times New Roman" w:cs="Times New Roman"/>
                <w:szCs w:val="20"/>
                <w:lang w:val="sl-SI" w:eastAsia="sl-SI"/>
              </w:rPr>
              <w:t>Senasis Ukmergės kelias 4</w:t>
            </w:r>
          </w:p>
          <w:p w:rsidR="00092F97" w:rsidRPr="00092F97" w:rsidRDefault="00092F97" w:rsidP="00092F97">
            <w:pPr>
              <w:widowControl w:val="0"/>
              <w:spacing w:after="0" w:line="240" w:lineRule="auto"/>
              <w:rPr>
                <w:rFonts w:ascii="Times New Roman" w:eastAsia="SimSun" w:hAnsi="Times New Roman" w:cs="Times New Roman"/>
                <w:szCs w:val="20"/>
                <w:lang w:val="sl-SI" w:eastAsia="sl-SI"/>
              </w:rPr>
            </w:pPr>
            <w:r w:rsidRPr="00092F97">
              <w:rPr>
                <w:rFonts w:ascii="Times New Roman" w:eastAsia="SimSun" w:hAnsi="Times New Roman" w:cs="Times New Roman"/>
                <w:szCs w:val="20"/>
                <w:lang w:val="sl-SI" w:eastAsia="sl-SI"/>
              </w:rPr>
              <w:t>Vilniaus raj., Užubalių k.</w:t>
            </w:r>
          </w:p>
          <w:p w:rsidR="00092F97" w:rsidRPr="00092F97" w:rsidRDefault="00092F97" w:rsidP="00092F97">
            <w:pPr>
              <w:widowControl w:val="0"/>
              <w:spacing w:after="0" w:line="240" w:lineRule="auto"/>
              <w:rPr>
                <w:rFonts w:ascii="Times New Roman" w:eastAsia="SimSun" w:hAnsi="Times New Roman" w:cs="Times New Roman"/>
                <w:szCs w:val="20"/>
                <w:lang w:val="sl-SI" w:eastAsia="sl-SI"/>
              </w:rPr>
            </w:pPr>
            <w:r w:rsidRPr="00092F97">
              <w:rPr>
                <w:rFonts w:ascii="Times New Roman" w:eastAsia="SimSun" w:hAnsi="Times New Roman" w:cs="Times New Roman"/>
                <w:szCs w:val="20"/>
                <w:lang w:val="sl-SI" w:eastAsia="sl-SI"/>
              </w:rPr>
              <w:t>LT - 14013</w:t>
            </w:r>
          </w:p>
          <w:p w:rsidR="00092F97" w:rsidRPr="00092F97" w:rsidRDefault="00092F97" w:rsidP="00092F97">
            <w:pPr>
              <w:widowControl w:val="0"/>
              <w:spacing w:after="0" w:line="240" w:lineRule="auto"/>
              <w:rPr>
                <w:rFonts w:ascii="Times New Roman" w:eastAsia="SimSun" w:hAnsi="Times New Roman" w:cs="Times New Roman"/>
                <w:szCs w:val="20"/>
                <w:lang w:val="sl-SI" w:eastAsia="sl-SI"/>
              </w:rPr>
            </w:pPr>
            <w:r w:rsidRPr="00092F97">
              <w:rPr>
                <w:rFonts w:ascii="Times New Roman" w:eastAsia="SimSun" w:hAnsi="Times New Roman" w:cs="Times New Roman"/>
                <w:szCs w:val="20"/>
                <w:lang w:val="sl-SI" w:eastAsia="sl-SI"/>
              </w:rPr>
              <w:t>Tel. + 370 5 236 27 40</w:t>
            </w:r>
          </w:p>
        </w:tc>
      </w:tr>
    </w:tbl>
    <w:p w:rsidR="00092F97" w:rsidRPr="00092F97" w:rsidRDefault="00092F97" w:rsidP="00092F97">
      <w:pPr>
        <w:widowControl w:val="0"/>
        <w:spacing w:after="0" w:line="240" w:lineRule="auto"/>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outlineLvl w:val="0"/>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Šis vaistas EEE valstybėse narėse registruotas tokiais pavadinimais:</w:t>
      </w: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3"/>
      </w:tblGrid>
      <w:tr w:rsidR="00092F97" w:rsidRPr="00092F97" w:rsidTr="0005484C">
        <w:trPr>
          <w:trHeight w:val="20"/>
        </w:trPr>
        <w:tc>
          <w:tcPr>
            <w:tcW w:w="4644"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Čekija, Danija, Estija, Suomija, Vengrija, Kroatija, Latvija, Švedija, Slovakija, Slovėnija</w:t>
            </w:r>
          </w:p>
        </w:tc>
        <w:tc>
          <w:tcPr>
            <w:tcW w:w="4643"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Betaklav</w:t>
            </w:r>
          </w:p>
        </w:tc>
      </w:tr>
      <w:tr w:rsidR="00092F97" w:rsidRPr="00092F97" w:rsidTr="0005484C">
        <w:trPr>
          <w:trHeight w:val="20"/>
        </w:trPr>
        <w:tc>
          <w:tcPr>
            <w:tcW w:w="4644"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Austrija</w:t>
            </w:r>
          </w:p>
        </w:tc>
        <w:tc>
          <w:tcPr>
            <w:tcW w:w="4643"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Amoxicillin/Clavulansäure Krka</w:t>
            </w:r>
          </w:p>
        </w:tc>
      </w:tr>
      <w:tr w:rsidR="00092F97" w:rsidRPr="00092F97" w:rsidTr="0005484C">
        <w:trPr>
          <w:trHeight w:val="20"/>
        </w:trPr>
        <w:tc>
          <w:tcPr>
            <w:tcW w:w="4644"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Bulgarija</w:t>
            </w:r>
          </w:p>
        </w:tc>
        <w:tc>
          <w:tcPr>
            <w:tcW w:w="4643"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Бетаклав</w:t>
            </w:r>
          </w:p>
        </w:tc>
      </w:tr>
      <w:tr w:rsidR="00092F97" w:rsidRPr="00092F97" w:rsidTr="0005484C">
        <w:trPr>
          <w:trHeight w:val="20"/>
        </w:trPr>
        <w:tc>
          <w:tcPr>
            <w:tcW w:w="4644"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Vokietija</w:t>
            </w:r>
          </w:p>
        </w:tc>
        <w:tc>
          <w:tcPr>
            <w:tcW w:w="4643"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Amoxicillin/Clavulansäure TAD</w:t>
            </w:r>
          </w:p>
        </w:tc>
      </w:tr>
      <w:tr w:rsidR="00092F97" w:rsidRPr="00092F97" w:rsidTr="0005484C">
        <w:trPr>
          <w:trHeight w:val="20"/>
        </w:trPr>
        <w:tc>
          <w:tcPr>
            <w:tcW w:w="4644"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Airija</w:t>
            </w:r>
          </w:p>
        </w:tc>
        <w:tc>
          <w:tcPr>
            <w:tcW w:w="4643"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Amoxicillin/clavulanic acid Krka</w:t>
            </w:r>
          </w:p>
        </w:tc>
      </w:tr>
      <w:tr w:rsidR="00092F97" w:rsidRPr="00092F97" w:rsidTr="0005484C">
        <w:trPr>
          <w:trHeight w:val="20"/>
        </w:trPr>
        <w:tc>
          <w:tcPr>
            <w:tcW w:w="4644"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Ispanija</w:t>
            </w:r>
          </w:p>
        </w:tc>
        <w:tc>
          <w:tcPr>
            <w:tcW w:w="4643"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es-ES" w:eastAsia="sl-SI"/>
              </w:rPr>
              <w:t xml:space="preserve">Amoxicilina/Ácido </w:t>
            </w:r>
            <w:proofErr w:type="spellStart"/>
            <w:r w:rsidRPr="00092F97">
              <w:rPr>
                <w:rFonts w:ascii="Times New Roman" w:eastAsia="Times New Roman" w:hAnsi="Times New Roman" w:cs="Times New Roman"/>
                <w:szCs w:val="20"/>
                <w:lang w:val="es-ES" w:eastAsia="sl-SI"/>
              </w:rPr>
              <w:t>clavulánico</w:t>
            </w:r>
            <w:proofErr w:type="spellEnd"/>
            <w:r w:rsidRPr="00092F97">
              <w:rPr>
                <w:rFonts w:ascii="Times New Roman" w:eastAsia="Times New Roman" w:hAnsi="Times New Roman" w:cs="Times New Roman"/>
                <w:szCs w:val="20"/>
                <w:lang w:val="es-ES" w:eastAsia="sl-SI"/>
              </w:rPr>
              <w:t xml:space="preserve"> TAD</w:t>
            </w:r>
          </w:p>
        </w:tc>
      </w:tr>
      <w:tr w:rsidR="00092F97" w:rsidRPr="00092F97" w:rsidTr="0005484C">
        <w:trPr>
          <w:trHeight w:val="20"/>
        </w:trPr>
        <w:tc>
          <w:tcPr>
            <w:tcW w:w="4644"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Italija</w:t>
            </w:r>
          </w:p>
        </w:tc>
        <w:tc>
          <w:tcPr>
            <w:tcW w:w="4643"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Amoxicillina e acido clavulanico Krka</w:t>
            </w:r>
          </w:p>
        </w:tc>
      </w:tr>
      <w:tr w:rsidR="00092F97" w:rsidRPr="00092F97" w:rsidTr="0005484C">
        <w:trPr>
          <w:trHeight w:val="20"/>
        </w:trPr>
        <w:tc>
          <w:tcPr>
            <w:tcW w:w="4644"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Lenkija</w:t>
            </w:r>
          </w:p>
        </w:tc>
        <w:tc>
          <w:tcPr>
            <w:tcW w:w="4643"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Hiconcil combi</w:t>
            </w:r>
          </w:p>
        </w:tc>
      </w:tr>
      <w:tr w:rsidR="00092F97" w:rsidRPr="00092F97" w:rsidTr="0005484C">
        <w:trPr>
          <w:trHeight w:val="20"/>
        </w:trPr>
        <w:tc>
          <w:tcPr>
            <w:tcW w:w="4644"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Portugalija</w:t>
            </w:r>
          </w:p>
        </w:tc>
        <w:tc>
          <w:tcPr>
            <w:tcW w:w="4643"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Amoxicilina+Ácido clavulânico Krka</w:t>
            </w:r>
          </w:p>
        </w:tc>
      </w:tr>
      <w:tr w:rsidR="00092F97" w:rsidRPr="00092F97" w:rsidTr="0005484C">
        <w:trPr>
          <w:trHeight w:val="20"/>
        </w:trPr>
        <w:tc>
          <w:tcPr>
            <w:tcW w:w="4644"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r w:rsidRPr="00092F97">
              <w:rPr>
                <w:rFonts w:ascii="Times New Roman" w:eastAsia="Times New Roman" w:hAnsi="Times New Roman" w:cs="Times New Roman"/>
                <w:szCs w:val="20"/>
                <w:lang w:val="lv-LV" w:eastAsia="sl-SI"/>
              </w:rPr>
              <w:t>Rumunija</w:t>
            </w:r>
          </w:p>
        </w:tc>
        <w:tc>
          <w:tcPr>
            <w:tcW w:w="4643" w:type="dxa"/>
            <w:hideMark/>
          </w:tcPr>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szCs w:val="20"/>
                <w:lang w:val="lv-LV" w:eastAsia="sl-SI"/>
              </w:rPr>
            </w:pPr>
            <w:proofErr w:type="spellStart"/>
            <w:r w:rsidRPr="00092F97">
              <w:rPr>
                <w:rFonts w:ascii="Times New Roman" w:eastAsia="Times New Roman" w:hAnsi="Times New Roman" w:cs="Times New Roman"/>
                <w:szCs w:val="20"/>
                <w:lang w:val="en-GB" w:eastAsia="sl-SI"/>
              </w:rPr>
              <w:t>Amoxicilină</w:t>
            </w:r>
            <w:proofErr w:type="spellEnd"/>
            <w:r w:rsidRPr="00092F97">
              <w:rPr>
                <w:rFonts w:ascii="Times New Roman" w:eastAsia="Times New Roman" w:hAnsi="Times New Roman" w:cs="Times New Roman"/>
                <w:szCs w:val="20"/>
                <w:lang w:val="en-GB" w:eastAsia="sl-SI"/>
              </w:rPr>
              <w:t>/Acid clavulanic Krka</w:t>
            </w:r>
          </w:p>
        </w:tc>
      </w:tr>
    </w:tbl>
    <w:p w:rsidR="00092F97" w:rsidRPr="00092F97" w:rsidRDefault="00092F97" w:rsidP="00092F97">
      <w:pPr>
        <w:spacing w:after="0" w:line="240" w:lineRule="auto"/>
        <w:rPr>
          <w:rFonts w:ascii="Times New Roman" w:eastAsia="Times New Roman" w:hAnsi="Times New Roman" w:cs="Times New Roman"/>
          <w:szCs w:val="20"/>
          <w:lang w:val="lv-LV" w:eastAsia="sl-SI"/>
        </w:rPr>
      </w:pPr>
    </w:p>
    <w:p w:rsidR="00092F97" w:rsidRPr="00092F97" w:rsidRDefault="00092F97" w:rsidP="00092F97">
      <w:pPr>
        <w:widowControl w:val="0"/>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b/>
          <w:szCs w:val="20"/>
          <w:lang w:val="lt-LT" w:eastAsia="sl-SI"/>
        </w:rPr>
      </w:pPr>
      <w:r w:rsidRPr="00092F97">
        <w:rPr>
          <w:rFonts w:ascii="Times New Roman" w:eastAsia="Times New Roman" w:hAnsi="Times New Roman" w:cs="Times New Roman"/>
          <w:b/>
          <w:szCs w:val="20"/>
          <w:lang w:val="lt-LT" w:eastAsia="sl-SI"/>
        </w:rPr>
        <w:t>Šis pakuotės lapelis paskutinį kartą peržiūrėtas 2018-04-26.</w:t>
      </w: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lang w:val="lt-LT" w:eastAsia="sl-SI"/>
        </w:rPr>
      </w:pPr>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color w:val="0000FF"/>
          <w:szCs w:val="20"/>
          <w:u w:val="single"/>
          <w:lang w:val="lt-LT" w:eastAsia="sl-SI"/>
        </w:rPr>
      </w:pPr>
      <w:r w:rsidRPr="00092F97">
        <w:rPr>
          <w:rFonts w:ascii="Times New Roman" w:eastAsia="Times New Roman" w:hAnsi="Times New Roman" w:cs="Times New Roman"/>
          <w:szCs w:val="20"/>
          <w:lang w:val="lt-LT" w:eastAsia="sl-SI"/>
        </w:rPr>
        <w:t xml:space="preserve">Išsami informacija apie šį vaistą pateikiama Valstybinės vaistų kontrolės tarnybos prie Lietuvos Respublikos sveikatos apsaugos ministerijos tinklalapyje </w:t>
      </w:r>
      <w:hyperlink r:id="rId6" w:history="1">
        <w:r w:rsidRPr="00092F97">
          <w:rPr>
            <w:rFonts w:ascii="Times New Roman" w:eastAsia="Times New Roman" w:hAnsi="Times New Roman" w:cs="Times New Roman"/>
            <w:color w:val="0000FF"/>
            <w:szCs w:val="20"/>
            <w:u w:val="single"/>
            <w:lang w:val="lt-LT" w:eastAsia="sl-SI"/>
          </w:rPr>
          <w:t>http://www.vvkt.lt/</w:t>
        </w:r>
      </w:hyperlink>
    </w:p>
    <w:p w:rsidR="00092F97" w:rsidRPr="00092F97" w:rsidRDefault="00092F97" w:rsidP="00092F97">
      <w:pPr>
        <w:widowControl w:val="0"/>
        <w:numPr>
          <w:ilvl w:val="12"/>
          <w:numId w:val="0"/>
        </w:numPr>
        <w:spacing w:after="0" w:line="240" w:lineRule="auto"/>
        <w:ind w:right="-2"/>
        <w:rPr>
          <w:rFonts w:ascii="Times New Roman" w:eastAsia="Times New Roman" w:hAnsi="Times New Roman" w:cs="Times New Roman"/>
          <w:szCs w:val="20"/>
          <w:u w:val="single"/>
          <w:lang w:val="lt-LT" w:eastAsia="sl-SI"/>
        </w:rPr>
      </w:pPr>
    </w:p>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b/>
          <w:color w:val="000000"/>
          <w:szCs w:val="20"/>
          <w:lang w:val="lt-LT" w:eastAsia="sl-SI"/>
        </w:rPr>
      </w:pPr>
      <w:r w:rsidRPr="00092F97">
        <w:rPr>
          <w:rFonts w:ascii="Times New Roman" w:eastAsia="Times New Roman" w:hAnsi="Times New Roman" w:cs="Times New Roman"/>
          <w:b/>
          <w:color w:val="000000"/>
          <w:szCs w:val="20"/>
          <w:lang w:val="lt-LT" w:eastAsia="sl-SI"/>
        </w:rPr>
        <w:t>Patarimai ir medicininis švietimas</w:t>
      </w:r>
    </w:p>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color w:val="000000"/>
          <w:szCs w:val="20"/>
          <w:lang w:val="lt-LT" w:eastAsia="sl-SI"/>
        </w:rPr>
      </w:pPr>
      <w:r w:rsidRPr="00092F97">
        <w:rPr>
          <w:rFonts w:ascii="Times New Roman" w:eastAsia="Times New Roman" w:hAnsi="Times New Roman" w:cs="Times New Roman"/>
          <w:color w:val="000000"/>
          <w:szCs w:val="20"/>
          <w:lang w:val="lt-LT" w:eastAsia="sl-SI"/>
        </w:rPr>
        <w:t>Antibiotikai vartojami bakterijų sukeltoms infekcinėms ligoms gydyti. Virusų sukeltų infekcinių ligų gydymas antibiotikais yra neveiksmingas.</w:t>
      </w:r>
    </w:p>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color w:val="000000"/>
          <w:szCs w:val="20"/>
          <w:lang w:val="lt-LT" w:eastAsia="sl-SI"/>
        </w:rPr>
      </w:pPr>
    </w:p>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color w:val="000000"/>
          <w:szCs w:val="20"/>
          <w:lang w:val="lt-LT" w:eastAsia="sl-SI"/>
        </w:rPr>
      </w:pPr>
      <w:r w:rsidRPr="00092F97">
        <w:rPr>
          <w:rFonts w:ascii="Times New Roman" w:eastAsia="Times New Roman" w:hAnsi="Times New Roman" w:cs="Times New Roman"/>
          <w:color w:val="000000"/>
          <w:szCs w:val="20"/>
          <w:lang w:val="lt-LT" w:eastAsia="sl-SI"/>
        </w:rPr>
        <w:t>Kartais bakterijų sukeltos infekcinės ligos nereaguoja į gydymą antibiotikais. Viena iš dažniausių to priežasčių yra infekcinę ligą sukėlusių bakterijų atsparumas vartojamiems antibiotikams. Tai reiškia, kad bakterijos išlieka gyvos ir net dauginasi nepaisant antibiotikų vartojimo.</w:t>
      </w:r>
    </w:p>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color w:val="000000"/>
          <w:szCs w:val="20"/>
          <w:lang w:val="lt-LT" w:eastAsia="sl-SI"/>
        </w:rPr>
      </w:pPr>
    </w:p>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color w:val="000000"/>
          <w:szCs w:val="20"/>
          <w:lang w:val="lt-LT" w:eastAsia="sl-SI"/>
        </w:rPr>
      </w:pPr>
      <w:r w:rsidRPr="00092F97">
        <w:rPr>
          <w:rFonts w:ascii="Times New Roman" w:eastAsia="Times New Roman" w:hAnsi="Times New Roman" w:cs="Times New Roman"/>
          <w:color w:val="000000"/>
          <w:szCs w:val="20"/>
          <w:lang w:val="lt-LT" w:eastAsia="sl-SI"/>
        </w:rPr>
        <w:t>Bakterijos gali tapti atsparios antibiotikų poveikiui dėl daugelio priežasčių. Atidus antibiotikų vartojimas gali padėti sumažinti tikimybę, kad bakterija taps jiems atspari.</w:t>
      </w:r>
    </w:p>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color w:val="000000"/>
          <w:szCs w:val="20"/>
          <w:lang w:val="lt-LT" w:eastAsia="sl-SI"/>
        </w:rPr>
      </w:pPr>
    </w:p>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color w:val="000000"/>
          <w:szCs w:val="20"/>
          <w:lang w:val="lt-LT" w:eastAsia="sl-SI"/>
        </w:rPr>
      </w:pPr>
      <w:r w:rsidRPr="00092F97">
        <w:rPr>
          <w:rFonts w:ascii="Times New Roman" w:eastAsia="Times New Roman" w:hAnsi="Times New Roman" w:cs="Times New Roman"/>
          <w:color w:val="000000"/>
          <w:szCs w:val="20"/>
          <w:lang w:val="lt-LT" w:eastAsia="sl-SI"/>
        </w:rPr>
        <w:t>Kai gydytojas skiria gydymą antibiotikais, jis būna skirtas tik Jūsų esamai ligai gydyti. Jei atkreipsite dėmesį į toliau pateikiamus patarimus, tai padės neleisti atsirasti atsparioms bakterijoms, dėl kurių antibiotikai gali tapti neveiksmingi.</w:t>
      </w:r>
    </w:p>
    <w:p w:rsidR="00092F97" w:rsidRPr="00092F97" w:rsidRDefault="00092F97" w:rsidP="00092F97">
      <w:pPr>
        <w:widowControl w:val="0"/>
        <w:autoSpaceDE w:val="0"/>
        <w:autoSpaceDN w:val="0"/>
        <w:adjustRightInd w:val="0"/>
        <w:spacing w:after="0" w:line="240" w:lineRule="auto"/>
        <w:rPr>
          <w:rFonts w:ascii="Times New Roman" w:eastAsia="Times New Roman" w:hAnsi="Times New Roman" w:cs="Times New Roman"/>
          <w:color w:val="000000"/>
          <w:szCs w:val="20"/>
          <w:lang w:val="lt-LT" w:eastAsia="sl-SI"/>
        </w:rPr>
      </w:pPr>
    </w:p>
    <w:p w:rsidR="00092F97" w:rsidRPr="00092F97" w:rsidRDefault="00092F97" w:rsidP="00092F97">
      <w:pPr>
        <w:widowControl w:val="0"/>
        <w:autoSpaceDE w:val="0"/>
        <w:autoSpaceDN w:val="0"/>
        <w:adjustRightInd w:val="0"/>
        <w:spacing w:after="0" w:line="240" w:lineRule="auto"/>
        <w:ind w:left="560" w:hanging="560"/>
        <w:rPr>
          <w:rFonts w:ascii="Times New Roman" w:eastAsia="Times New Roman" w:hAnsi="Times New Roman" w:cs="Times New Roman"/>
          <w:color w:val="000000"/>
          <w:szCs w:val="20"/>
          <w:lang w:val="lt-LT" w:eastAsia="sl-SI"/>
        </w:rPr>
      </w:pPr>
      <w:r w:rsidRPr="00092F97">
        <w:rPr>
          <w:rFonts w:ascii="Times New Roman" w:eastAsia="Times New Roman" w:hAnsi="Times New Roman" w:cs="Times New Roman"/>
          <w:color w:val="000000"/>
          <w:szCs w:val="20"/>
          <w:lang w:val="lt-LT" w:eastAsia="sl-SI"/>
        </w:rPr>
        <w:t>1.</w:t>
      </w:r>
      <w:r w:rsidRPr="00092F97">
        <w:rPr>
          <w:rFonts w:ascii="Times New Roman" w:eastAsia="Times New Roman" w:hAnsi="Times New Roman" w:cs="Times New Roman"/>
          <w:color w:val="000000"/>
          <w:szCs w:val="20"/>
          <w:lang w:val="lt-LT" w:eastAsia="sl-SI"/>
        </w:rPr>
        <w:tab/>
        <w:t>Labai svarbu, kad reikiamu laiku ir reikiamą dienų skaičių vartotumėte reikiamą antibiotiko dozę. Jei abejojate, pasitarkite su gydytoju arba vaistininku.</w:t>
      </w:r>
    </w:p>
    <w:p w:rsidR="00092F97" w:rsidRPr="00092F97" w:rsidRDefault="00092F97" w:rsidP="00092F97">
      <w:pPr>
        <w:widowControl w:val="0"/>
        <w:autoSpaceDE w:val="0"/>
        <w:autoSpaceDN w:val="0"/>
        <w:adjustRightInd w:val="0"/>
        <w:spacing w:after="0" w:line="240" w:lineRule="auto"/>
        <w:ind w:left="560" w:hanging="560"/>
        <w:rPr>
          <w:rFonts w:ascii="Times New Roman" w:eastAsia="Times New Roman" w:hAnsi="Times New Roman" w:cs="Times New Roman"/>
          <w:color w:val="000000"/>
          <w:szCs w:val="20"/>
          <w:lang w:val="lt-LT" w:eastAsia="sl-SI"/>
        </w:rPr>
      </w:pPr>
      <w:r w:rsidRPr="00092F97">
        <w:rPr>
          <w:rFonts w:ascii="Times New Roman" w:eastAsia="Times New Roman" w:hAnsi="Times New Roman" w:cs="Times New Roman"/>
          <w:color w:val="000000"/>
          <w:szCs w:val="20"/>
          <w:lang w:val="lt-LT" w:eastAsia="sl-SI"/>
        </w:rPr>
        <w:t>2.</w:t>
      </w:r>
      <w:r w:rsidRPr="00092F97">
        <w:rPr>
          <w:rFonts w:ascii="Times New Roman" w:eastAsia="Times New Roman" w:hAnsi="Times New Roman" w:cs="Times New Roman"/>
          <w:color w:val="000000"/>
          <w:szCs w:val="20"/>
          <w:lang w:val="lt-LT" w:eastAsia="sl-SI"/>
        </w:rPr>
        <w:tab/>
        <w:t>Antibiotikų vartokite tik tuo atveju, jei jų buvo skirta specifiškai Jums, ir tik nuo tos infekcinės ligos, nuo kurios jų buvo skirta.</w:t>
      </w:r>
    </w:p>
    <w:p w:rsidR="00092F97" w:rsidRPr="00092F97" w:rsidRDefault="00092F97" w:rsidP="00092F97">
      <w:pPr>
        <w:widowControl w:val="0"/>
        <w:autoSpaceDE w:val="0"/>
        <w:autoSpaceDN w:val="0"/>
        <w:adjustRightInd w:val="0"/>
        <w:spacing w:after="0" w:line="240" w:lineRule="auto"/>
        <w:ind w:left="560" w:hanging="560"/>
        <w:rPr>
          <w:rFonts w:ascii="Times New Roman" w:eastAsia="Times New Roman" w:hAnsi="Times New Roman" w:cs="Times New Roman"/>
          <w:color w:val="000000"/>
          <w:szCs w:val="20"/>
          <w:lang w:val="lt-LT" w:eastAsia="sl-SI"/>
        </w:rPr>
      </w:pPr>
      <w:r w:rsidRPr="00092F97">
        <w:rPr>
          <w:rFonts w:ascii="Times New Roman" w:eastAsia="Times New Roman" w:hAnsi="Times New Roman" w:cs="Times New Roman"/>
          <w:color w:val="000000"/>
          <w:szCs w:val="20"/>
          <w:lang w:val="lt-LT" w:eastAsia="sl-SI"/>
        </w:rPr>
        <w:t>3.</w:t>
      </w:r>
      <w:r w:rsidRPr="00092F97">
        <w:rPr>
          <w:rFonts w:ascii="Times New Roman" w:eastAsia="Times New Roman" w:hAnsi="Times New Roman" w:cs="Times New Roman"/>
          <w:color w:val="000000"/>
          <w:szCs w:val="20"/>
          <w:lang w:val="lt-LT" w:eastAsia="sl-SI"/>
        </w:rPr>
        <w:tab/>
        <w:t>Nevartokite kitiems žmonėms skirtų antibiotikų, net jei jie serga infekcine liga, panašia į tą, kuria sergate Jūs.</w:t>
      </w:r>
    </w:p>
    <w:p w:rsidR="00092F97" w:rsidRPr="00092F97" w:rsidRDefault="00092F97" w:rsidP="00092F97">
      <w:pPr>
        <w:widowControl w:val="0"/>
        <w:autoSpaceDE w:val="0"/>
        <w:autoSpaceDN w:val="0"/>
        <w:adjustRightInd w:val="0"/>
        <w:spacing w:after="0" w:line="240" w:lineRule="auto"/>
        <w:ind w:left="560" w:hanging="560"/>
        <w:rPr>
          <w:rFonts w:ascii="Times New Roman" w:eastAsia="Times New Roman" w:hAnsi="Times New Roman" w:cs="Times New Roman"/>
          <w:color w:val="000000"/>
          <w:szCs w:val="20"/>
          <w:lang w:val="lt-LT" w:eastAsia="sl-SI"/>
        </w:rPr>
      </w:pPr>
      <w:r w:rsidRPr="00092F97">
        <w:rPr>
          <w:rFonts w:ascii="Times New Roman" w:eastAsia="Times New Roman" w:hAnsi="Times New Roman" w:cs="Times New Roman"/>
          <w:color w:val="000000"/>
          <w:szCs w:val="20"/>
          <w:lang w:val="lt-LT" w:eastAsia="sl-SI"/>
        </w:rPr>
        <w:t>4.</w:t>
      </w:r>
      <w:r w:rsidRPr="00092F97">
        <w:rPr>
          <w:rFonts w:ascii="Times New Roman" w:eastAsia="Times New Roman" w:hAnsi="Times New Roman" w:cs="Times New Roman"/>
          <w:color w:val="000000"/>
          <w:szCs w:val="20"/>
          <w:lang w:val="lt-LT" w:eastAsia="sl-SI"/>
        </w:rPr>
        <w:tab/>
        <w:t>Neduokite Jums skirtų antibiotikų kitiems žmonėms.</w:t>
      </w:r>
    </w:p>
    <w:p w:rsidR="00092F97" w:rsidRPr="00092F97" w:rsidRDefault="00092F97" w:rsidP="00092F97">
      <w:pPr>
        <w:widowControl w:val="0"/>
        <w:autoSpaceDE w:val="0"/>
        <w:autoSpaceDN w:val="0"/>
        <w:adjustRightInd w:val="0"/>
        <w:spacing w:after="0" w:line="240" w:lineRule="auto"/>
        <w:ind w:left="560" w:hanging="560"/>
        <w:rPr>
          <w:rFonts w:ascii="Times New Roman" w:eastAsia="Times New Roman" w:hAnsi="Times New Roman" w:cs="Times New Roman"/>
          <w:szCs w:val="20"/>
          <w:lang w:val="sl-SI" w:eastAsia="sl-SI"/>
        </w:rPr>
      </w:pPr>
      <w:r w:rsidRPr="00092F97">
        <w:rPr>
          <w:rFonts w:ascii="Times New Roman" w:eastAsia="Times New Roman" w:hAnsi="Times New Roman" w:cs="Times New Roman"/>
          <w:szCs w:val="20"/>
          <w:lang w:val="lt-LT" w:eastAsia="sl-SI"/>
        </w:rPr>
        <w:t>5.</w:t>
      </w:r>
      <w:r w:rsidRPr="00092F97">
        <w:rPr>
          <w:rFonts w:ascii="Times New Roman" w:eastAsia="Times New Roman" w:hAnsi="Times New Roman" w:cs="Times New Roman"/>
          <w:szCs w:val="20"/>
          <w:lang w:val="lt-LT" w:eastAsia="sl-SI"/>
        </w:rPr>
        <w:tab/>
        <w:t>Jei baigus gydymo kursą Jums liko antibiotikų, likutį grąžinkite į vaistinę, kad jie būtų tinkamai sunaikinti.</w:t>
      </w:r>
    </w:p>
    <w:p w:rsidR="00092F97" w:rsidRPr="00092F97" w:rsidRDefault="00092F97" w:rsidP="00092F97">
      <w:pPr>
        <w:widowControl w:val="0"/>
        <w:spacing w:after="0" w:line="240" w:lineRule="auto"/>
        <w:rPr>
          <w:rFonts w:ascii="Times New Roman" w:eastAsia="Times New Roman" w:hAnsi="Times New Roman" w:cs="Times New Roman"/>
          <w:szCs w:val="20"/>
          <w:lang w:val="sl-SI" w:eastAsia="sl-SI"/>
        </w:rPr>
      </w:pPr>
    </w:p>
    <w:p w:rsidR="00F571AD" w:rsidRDefault="00F571AD"/>
    <w:sectPr w:rsidR="00F571AD" w:rsidSect="00F3102D">
      <w:pgSz w:w="12240" w:h="15840"/>
      <w:pgMar w:top="1701"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ĖĪĢå"/>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B64"/>
    <w:multiLevelType w:val="hybridMultilevel"/>
    <w:tmpl w:val="EF10F4D8"/>
    <w:lvl w:ilvl="0" w:tplc="494A0656">
      <w:start w:val="1"/>
      <w:numFmt w:val="bullet"/>
      <w:lvlText w:val="­"/>
      <w:lvlJc w:val="left"/>
      <w:pPr>
        <w:ind w:left="720" w:hanging="360"/>
      </w:pPr>
      <w:rPr>
        <w:rFonts w:ascii="Times New Roman" w:hAnsi="Times New Roman" w:hint="default"/>
        <w:b w:val="0"/>
        <w:i w:val="0"/>
        <w:sz w:val="24"/>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10E130ED"/>
    <w:multiLevelType w:val="hybridMultilevel"/>
    <w:tmpl w:val="854294DA"/>
    <w:lvl w:ilvl="0" w:tplc="BF06C694">
      <w:start w:val="1"/>
      <w:numFmt w:val="bullet"/>
      <w:lvlText w:val="-"/>
      <w:lvlJc w:val="left"/>
      <w:pPr>
        <w:ind w:left="720" w:hanging="360"/>
      </w:pPr>
      <w:rPr>
        <w:rFonts w:ascii="Times New Roman" w:hAnsi="Times New Roman" w:hint="default"/>
        <w:b w:val="0"/>
        <w:i w:val="0"/>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E5B432B"/>
    <w:multiLevelType w:val="hybridMultilevel"/>
    <w:tmpl w:val="148EDD78"/>
    <w:lvl w:ilvl="0" w:tplc="BF06C694">
      <w:start w:val="1"/>
      <w:numFmt w:val="bullet"/>
      <w:lvlText w:val="-"/>
      <w:lvlJc w:val="left"/>
      <w:pPr>
        <w:ind w:left="720" w:hanging="360"/>
      </w:pPr>
      <w:rPr>
        <w:rFonts w:ascii="Times New Roman" w:hAnsi="Times New Roman" w:hint="default"/>
        <w:b w:val="0"/>
        <w:i w:val="0"/>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617D3F"/>
    <w:multiLevelType w:val="hybridMultilevel"/>
    <w:tmpl w:val="6DC23DBE"/>
    <w:lvl w:ilvl="0" w:tplc="BF06C694">
      <w:start w:val="1"/>
      <w:numFmt w:val="bullet"/>
      <w:lvlText w:val="-"/>
      <w:lvlJc w:val="left"/>
      <w:pPr>
        <w:ind w:left="720" w:hanging="360"/>
      </w:pPr>
      <w:rPr>
        <w:rFonts w:ascii="Times New Roman" w:hAnsi="Times New Roman" w:hint="default"/>
        <w:b w:val="0"/>
        <w:i w:val="0"/>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7B2332"/>
    <w:multiLevelType w:val="hybridMultilevel"/>
    <w:tmpl w:val="C15C891A"/>
    <w:lvl w:ilvl="0" w:tplc="BF06C694">
      <w:start w:val="1"/>
      <w:numFmt w:val="bullet"/>
      <w:lvlText w:val="-"/>
      <w:lvlJc w:val="left"/>
      <w:pPr>
        <w:ind w:left="720" w:hanging="360"/>
      </w:pPr>
      <w:rPr>
        <w:rFonts w:ascii="Times New Roman" w:hAnsi="Times New Roman" w:hint="default"/>
        <w:b w:val="0"/>
        <w:i w:val="0"/>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C881917"/>
    <w:multiLevelType w:val="hybridMultilevel"/>
    <w:tmpl w:val="6994B4A8"/>
    <w:lvl w:ilvl="0" w:tplc="BF06C694">
      <w:start w:val="1"/>
      <w:numFmt w:val="bullet"/>
      <w:lvlText w:val="-"/>
      <w:lvlJc w:val="left"/>
      <w:pPr>
        <w:ind w:left="720" w:hanging="360"/>
      </w:pPr>
      <w:rPr>
        <w:rFonts w:ascii="Times New Roman" w:hAnsi="Times New Roman" w:hint="default"/>
        <w:b w:val="0"/>
        <w:i w:val="0"/>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EC442E7"/>
    <w:multiLevelType w:val="hybridMultilevel"/>
    <w:tmpl w:val="A9165660"/>
    <w:lvl w:ilvl="0" w:tplc="BF06C694">
      <w:start w:val="1"/>
      <w:numFmt w:val="bullet"/>
      <w:lvlText w:val="-"/>
      <w:lvlJc w:val="left"/>
      <w:pPr>
        <w:ind w:left="720" w:hanging="360"/>
      </w:pPr>
      <w:rPr>
        <w:rFonts w:ascii="Times New Roman" w:hAnsi="Times New Roman" w:hint="default"/>
        <w:b w:val="0"/>
        <w:i w:val="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D9416B"/>
    <w:multiLevelType w:val="hybridMultilevel"/>
    <w:tmpl w:val="E4CCE26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4E311A"/>
    <w:multiLevelType w:val="hybridMultilevel"/>
    <w:tmpl w:val="F83CCC72"/>
    <w:lvl w:ilvl="0" w:tplc="BF06C694">
      <w:start w:val="1"/>
      <w:numFmt w:val="bullet"/>
      <w:lvlText w:val="-"/>
      <w:lvlJc w:val="left"/>
      <w:pPr>
        <w:ind w:left="720" w:hanging="360"/>
      </w:pPr>
      <w:rPr>
        <w:rFonts w:ascii="Times New Roman" w:hAnsi="Times New Roman" w:hint="default"/>
        <w:b w:val="0"/>
        <w:i w:val="0"/>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63D7862"/>
    <w:multiLevelType w:val="hybridMultilevel"/>
    <w:tmpl w:val="492225B2"/>
    <w:lvl w:ilvl="0" w:tplc="BF06C694">
      <w:start w:val="1"/>
      <w:numFmt w:val="bullet"/>
      <w:lvlText w:val="-"/>
      <w:lvlJc w:val="left"/>
      <w:pPr>
        <w:ind w:left="1287" w:hanging="360"/>
      </w:pPr>
      <w:rPr>
        <w:rFonts w:ascii="Times New Roman" w:hAnsi="Times New Roman" w:hint="default"/>
        <w:b w:val="0"/>
        <w:i w:val="0"/>
        <w:sz w:val="24"/>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0">
    <w:nsid w:val="70AA055D"/>
    <w:multiLevelType w:val="hybridMultilevel"/>
    <w:tmpl w:val="C0F28EDA"/>
    <w:lvl w:ilvl="0" w:tplc="BF06C694">
      <w:start w:val="1"/>
      <w:numFmt w:val="bullet"/>
      <w:lvlText w:val="-"/>
      <w:lvlJc w:val="left"/>
      <w:pPr>
        <w:ind w:left="720" w:hanging="360"/>
      </w:pPr>
      <w:rPr>
        <w:rFonts w:ascii="Times New Roman" w:hAnsi="Times New Roman" w:hint="default"/>
        <w:b w:val="0"/>
        <w:i w:val="0"/>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5E764F0"/>
    <w:multiLevelType w:val="hybridMultilevel"/>
    <w:tmpl w:val="2166BF96"/>
    <w:lvl w:ilvl="0" w:tplc="BF06C694">
      <w:start w:val="1"/>
      <w:numFmt w:val="bullet"/>
      <w:lvlText w:val="-"/>
      <w:lvlJc w:val="left"/>
      <w:pPr>
        <w:ind w:left="720" w:hanging="360"/>
      </w:pPr>
      <w:rPr>
        <w:rFonts w:ascii="Times New Roman" w:hAnsi="Times New Roman" w:hint="default"/>
        <w:b w:val="0"/>
        <w:i w:val="0"/>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1"/>
  </w:num>
  <w:num w:numId="6">
    <w:abstractNumId w:val="8"/>
  </w:num>
  <w:num w:numId="7">
    <w:abstractNumId w:val="5"/>
  </w:num>
  <w:num w:numId="8">
    <w:abstractNumId w:val="9"/>
  </w:num>
  <w:num w:numId="9">
    <w:abstractNumId w:val="10"/>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97"/>
    <w:rsid w:val="00092F97"/>
    <w:rsid w:val="00247DDD"/>
    <w:rsid w:val="00F5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2018-06-13T17:58:00Z</dcterms:created>
  <dcterms:modified xsi:type="dcterms:W3CDTF">2018-06-13T18:13:00Z</dcterms:modified>
</cp:coreProperties>
</file>