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59" w:rsidRDefault="00B42B59" w:rsidP="00B42B59">
      <w:pPr>
        <w:tabs>
          <w:tab w:val="left" w:pos="567"/>
        </w:tabs>
        <w:spacing w:after="0" w:line="240" w:lineRule="auto"/>
        <w:ind w:left="567" w:hanging="567"/>
        <w:jc w:val="center"/>
        <w:outlineLvl w:val="0"/>
        <w:rPr>
          <w:rFonts w:ascii="Times New Roman" w:hAnsi="Times New Roman"/>
          <w:b/>
        </w:rPr>
      </w:pPr>
      <w:bookmarkStart w:id="0" w:name="_Toc129243138"/>
      <w:bookmarkStart w:id="1" w:name="_Toc129243263"/>
      <w:bookmarkStart w:id="2" w:name="_GoBack"/>
      <w:bookmarkEnd w:id="2"/>
      <w:r>
        <w:rPr>
          <w:rFonts w:ascii="Times New Roman" w:hAnsi="Times New Roman"/>
          <w:b/>
        </w:rPr>
        <w:t xml:space="preserve">Pakuotės lapelis: informacija vartotojui </w:t>
      </w:r>
      <w:bookmarkEnd w:id="0"/>
      <w:bookmarkEnd w:id="1"/>
    </w:p>
    <w:p w:rsidR="00B42B59" w:rsidRDefault="00B42B59" w:rsidP="00B42B59">
      <w:pPr>
        <w:tabs>
          <w:tab w:val="left" w:pos="720"/>
        </w:tabs>
        <w:spacing w:after="0" w:line="240" w:lineRule="auto"/>
        <w:jc w:val="center"/>
        <w:outlineLvl w:val="0"/>
        <w:rPr>
          <w:rFonts w:ascii="Times New Roman" w:hAnsi="Times New Roman"/>
          <w:b/>
        </w:rPr>
      </w:pPr>
    </w:p>
    <w:p w:rsidR="00B42B59" w:rsidRDefault="00B42B59" w:rsidP="00B42B59">
      <w:pPr>
        <w:numPr>
          <w:ilvl w:val="12"/>
          <w:numId w:val="0"/>
        </w:numPr>
        <w:tabs>
          <w:tab w:val="left" w:pos="720"/>
        </w:tabs>
        <w:spacing w:after="0" w:line="240" w:lineRule="auto"/>
        <w:jc w:val="center"/>
        <w:rPr>
          <w:rFonts w:ascii="Times New Roman" w:hAnsi="Times New Roman"/>
          <w:b/>
        </w:rPr>
      </w:pPr>
      <w:r>
        <w:rPr>
          <w:rFonts w:ascii="Times New Roman" w:hAnsi="Times New Roman"/>
          <w:b/>
        </w:rPr>
        <w:t>Antiprost 5 mg plėvele dengtos tabletės</w:t>
      </w:r>
    </w:p>
    <w:p w:rsidR="00B42B59" w:rsidRDefault="00B42B59" w:rsidP="00B42B59">
      <w:pPr>
        <w:numPr>
          <w:ilvl w:val="12"/>
          <w:numId w:val="0"/>
        </w:numPr>
        <w:tabs>
          <w:tab w:val="left" w:pos="720"/>
        </w:tabs>
        <w:spacing w:after="0" w:line="240" w:lineRule="auto"/>
        <w:jc w:val="center"/>
        <w:rPr>
          <w:rFonts w:ascii="Times New Roman" w:hAnsi="Times New Roman"/>
        </w:rPr>
      </w:pPr>
      <w:r>
        <w:rPr>
          <w:rFonts w:ascii="Times New Roman" w:hAnsi="Times New Roman"/>
        </w:rPr>
        <w:t>Finasteridas</w:t>
      </w:r>
    </w:p>
    <w:p w:rsidR="00B42B59" w:rsidRDefault="00B42B59" w:rsidP="00B42B59">
      <w:pPr>
        <w:tabs>
          <w:tab w:val="left" w:pos="720"/>
        </w:tabs>
        <w:spacing w:after="0" w:line="240" w:lineRule="auto"/>
        <w:jc w:val="center"/>
        <w:rPr>
          <w:rFonts w:ascii="Times New Roman" w:hAnsi="Times New Roman"/>
        </w:rPr>
      </w:pPr>
    </w:p>
    <w:p w:rsidR="00B42B59" w:rsidRDefault="00B42B59" w:rsidP="00B42B59">
      <w:pPr>
        <w:suppressAutoHyphens/>
        <w:spacing w:after="0" w:line="240" w:lineRule="auto"/>
        <w:rPr>
          <w:rFonts w:ascii="Times New Roman" w:eastAsia="Times New Roman" w:hAnsi="Times New Roman"/>
        </w:rPr>
      </w:pPr>
      <w:r>
        <w:rPr>
          <w:rFonts w:ascii="Times New Roman" w:eastAsia="Times New Roman" w:hAnsi="Times New Roman"/>
          <w:b/>
        </w:rPr>
        <w:t>Atidžiai perskaitykite visą šį lapelį, prieš pradėdami vartoti vaistą,</w:t>
      </w:r>
      <w:r>
        <w:rPr>
          <w:rFonts w:ascii="Times New Roman" w:eastAsia="Times New Roman" w:hAnsi="Times New Roman"/>
          <w:b/>
          <w:noProof/>
          <w:snapToGrid w:val="0"/>
        </w:rPr>
        <w:t xml:space="preserve"> nes jame pateikiama Jums svarbi informacija</w:t>
      </w:r>
      <w:r>
        <w:rPr>
          <w:rFonts w:ascii="Times New Roman" w:eastAsia="Times New Roman" w:hAnsi="Times New Roman"/>
        </w:rPr>
        <w:t>.</w:t>
      </w:r>
    </w:p>
    <w:p w:rsidR="00B42B59" w:rsidRDefault="00B42B59" w:rsidP="00B42B59">
      <w:pPr>
        <w:tabs>
          <w:tab w:val="num" w:pos="567"/>
        </w:tabs>
        <w:spacing w:after="0" w:line="240" w:lineRule="auto"/>
        <w:ind w:left="567" w:hanging="567"/>
        <w:rPr>
          <w:rFonts w:ascii="Times New Roman" w:eastAsia="Times New Roman" w:hAnsi="Times New Roman"/>
          <w:noProof/>
        </w:rPr>
      </w:pPr>
      <w:r>
        <w:rPr>
          <w:rFonts w:ascii="Times New Roman" w:eastAsia="Times New Roman" w:hAnsi="Times New Roman"/>
          <w:noProof/>
        </w:rPr>
        <w:t>Neišmeskite šio lapelio, nes vėl gali prireikti jį perskaityti.</w:t>
      </w:r>
    </w:p>
    <w:p w:rsidR="00B42B59" w:rsidRDefault="00B42B59" w:rsidP="00B42B59">
      <w:pPr>
        <w:numPr>
          <w:ilvl w:val="0"/>
          <w:numId w:val="2"/>
        </w:numPr>
        <w:spacing w:after="0" w:line="240" w:lineRule="auto"/>
        <w:ind w:left="567" w:hanging="567"/>
        <w:contextualSpacing/>
        <w:rPr>
          <w:rFonts w:ascii="Times New Roman" w:eastAsia="Times New Roman" w:hAnsi="Times New Roman"/>
          <w:noProof/>
        </w:rPr>
      </w:pPr>
      <w:r>
        <w:rPr>
          <w:rFonts w:ascii="Times New Roman" w:eastAsia="Times New Roman" w:hAnsi="Times New Roman"/>
          <w:noProof/>
        </w:rPr>
        <w:t>Jeigu kiltų daugiau klausimų, kreipkitės į gydytoją arba vaistininką.</w:t>
      </w:r>
    </w:p>
    <w:p w:rsidR="00B42B59" w:rsidRDefault="00B42B59" w:rsidP="00B42B59">
      <w:pPr>
        <w:numPr>
          <w:ilvl w:val="0"/>
          <w:numId w:val="2"/>
        </w:numPr>
        <w:spacing w:after="0" w:line="240" w:lineRule="auto"/>
        <w:ind w:left="567" w:hanging="567"/>
        <w:contextualSpacing/>
        <w:rPr>
          <w:rFonts w:ascii="Times New Roman" w:eastAsia="Times New Roman" w:hAnsi="Times New Roman"/>
          <w:noProof/>
        </w:rPr>
      </w:pPr>
      <w:r>
        <w:rPr>
          <w:rFonts w:ascii="Times New Roman" w:eastAsia="Times New Roman" w:hAnsi="Times New Roman"/>
          <w:noProof/>
        </w:rPr>
        <w:t>Šis vaistas skirtas tik Jums, todėl kitiems žmonėms jo duoti negalima. Vaistas gali jiems pakenkti (net tiems, kurių ligos simptomai yra tokie patys kaip jūsų).</w:t>
      </w:r>
    </w:p>
    <w:p w:rsidR="00B42B59" w:rsidRDefault="00B42B59" w:rsidP="00B42B59">
      <w:pPr>
        <w:numPr>
          <w:ilvl w:val="0"/>
          <w:numId w:val="2"/>
        </w:numPr>
        <w:spacing w:after="0" w:line="240" w:lineRule="auto"/>
        <w:ind w:left="567" w:hanging="567"/>
        <w:contextualSpacing/>
        <w:rPr>
          <w:rFonts w:ascii="Times New Roman" w:eastAsia="Times New Roman" w:hAnsi="Times New Roman"/>
          <w:noProof/>
        </w:rPr>
      </w:pPr>
      <w:r>
        <w:rPr>
          <w:rFonts w:ascii="Times New Roman" w:eastAsia="Times New Roman" w:hAnsi="Times New Roman"/>
          <w:noProof/>
        </w:rPr>
        <w:t>Jeigu pasireiškė šalutinis poveikis (net jeigu jis šiame lapelyje nenurodytas), kreipkitės į gydytoją arba vaistininką. Žr. 4 skyrių.</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p>
    <w:p w:rsidR="00B42B59" w:rsidRDefault="00B42B59" w:rsidP="00B42B59">
      <w:pPr>
        <w:keepNext/>
        <w:tabs>
          <w:tab w:val="left" w:pos="567"/>
        </w:tabs>
        <w:spacing w:after="0" w:line="260" w:lineRule="exact"/>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Apie ką rašoma šiame lapelyje?</w:t>
      </w:r>
    </w:p>
    <w:p w:rsidR="00B42B59" w:rsidRDefault="00B42B59" w:rsidP="00B42B59">
      <w:pPr>
        <w:spacing w:after="0" w:line="240" w:lineRule="auto"/>
        <w:ind w:left="567" w:hanging="567"/>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Kas yra Antiprost ir kam jis vartojamas</w:t>
      </w:r>
    </w:p>
    <w:p w:rsidR="00B42B59" w:rsidRDefault="00B42B59" w:rsidP="00B42B59">
      <w:pPr>
        <w:spacing w:after="0" w:line="240" w:lineRule="auto"/>
        <w:ind w:left="567" w:hanging="567"/>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Kas žinotina prieš vartojant Antiprost</w:t>
      </w:r>
    </w:p>
    <w:p w:rsidR="00B42B59" w:rsidRDefault="00B42B59" w:rsidP="00B42B59">
      <w:pPr>
        <w:spacing w:after="0" w:line="240" w:lineRule="auto"/>
        <w:ind w:left="567" w:hanging="567"/>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Kaip vartoti Antiprost</w:t>
      </w:r>
    </w:p>
    <w:p w:rsidR="00B42B59" w:rsidRDefault="00B42B59" w:rsidP="00B42B59">
      <w:pPr>
        <w:spacing w:after="0" w:line="240" w:lineRule="auto"/>
        <w:ind w:left="567" w:hanging="567"/>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Galimas šalutinis poveikis</w:t>
      </w:r>
    </w:p>
    <w:p w:rsidR="00B42B59" w:rsidRDefault="00B42B59" w:rsidP="00B42B59">
      <w:pPr>
        <w:spacing w:after="0" w:line="240" w:lineRule="auto"/>
        <w:ind w:left="567" w:hanging="567"/>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Kaip laikyti Antiprost</w:t>
      </w:r>
    </w:p>
    <w:p w:rsidR="00B42B59" w:rsidRDefault="00B42B59" w:rsidP="00B42B59">
      <w:pPr>
        <w:spacing w:after="0" w:line="240" w:lineRule="auto"/>
        <w:ind w:left="567" w:hanging="567"/>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t>Pakuotės turinys ir kita informacija</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p>
    <w:p w:rsidR="00B42B59" w:rsidRDefault="00B42B59" w:rsidP="00B42B59">
      <w:pPr>
        <w:keepNext/>
        <w:tabs>
          <w:tab w:val="left" w:pos="567"/>
        </w:tabs>
        <w:spacing w:after="0" w:line="240" w:lineRule="auto"/>
        <w:ind w:left="567" w:hanging="567"/>
        <w:outlineLvl w:val="1"/>
        <w:rPr>
          <w:rFonts w:ascii="Times New Roman" w:eastAsia="Times New Roman" w:hAnsi="Times New Roman"/>
          <w:b/>
        </w:rPr>
      </w:pPr>
      <w:bookmarkStart w:id="3" w:name="_Toc129243264"/>
      <w:bookmarkStart w:id="4" w:name="_Toc129243139"/>
      <w:r>
        <w:rPr>
          <w:rFonts w:ascii="Times New Roman" w:eastAsia="Times New Roman" w:hAnsi="Times New Roman"/>
          <w:b/>
        </w:rPr>
        <w:t>1.</w:t>
      </w:r>
      <w:r>
        <w:rPr>
          <w:rFonts w:ascii="Times New Roman" w:eastAsia="Times New Roman" w:hAnsi="Times New Roman"/>
          <w:b/>
        </w:rPr>
        <w:tab/>
        <w:t>Kas yra Antiprost ir kam jis vartojamas</w:t>
      </w:r>
      <w:bookmarkEnd w:id="3"/>
      <w:bookmarkEnd w:id="4"/>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Antiprost priklauso vaistų, kurie vadinami 5-alfa reduktazės inhibitoriai, grupei. Jie veikia mažindami prostatos dydį.</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Antiprost vartojamas gerybiniam prostatos išvešėjimui (gerybinei prostatos hiperplazijai) gydyti. Jis mažina padidėjusią prostatą, gerina šlapimo tėkmę ir prostatos hiperplazijos simptomus, sumažina staigaus šlapimo susilaikymo pavojų ir operacijos poreikį.</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p>
    <w:p w:rsidR="00B42B59" w:rsidRDefault="00B42B59" w:rsidP="00B42B59">
      <w:pPr>
        <w:keepNext/>
        <w:tabs>
          <w:tab w:val="left" w:pos="567"/>
        </w:tabs>
        <w:spacing w:after="0" w:line="240" w:lineRule="auto"/>
        <w:ind w:left="567" w:hanging="567"/>
        <w:outlineLvl w:val="1"/>
        <w:rPr>
          <w:rFonts w:ascii="Times New Roman" w:eastAsia="Times New Roman" w:hAnsi="Times New Roman"/>
          <w:b/>
        </w:rPr>
      </w:pPr>
      <w:bookmarkStart w:id="5" w:name="_Toc129243265"/>
      <w:bookmarkStart w:id="6" w:name="_Toc129243140"/>
      <w:r>
        <w:rPr>
          <w:rFonts w:ascii="Times New Roman" w:eastAsia="Times New Roman" w:hAnsi="Times New Roman"/>
          <w:b/>
        </w:rPr>
        <w:t>2.</w:t>
      </w:r>
      <w:r>
        <w:rPr>
          <w:rFonts w:ascii="Times New Roman" w:eastAsia="Times New Roman" w:hAnsi="Times New Roman"/>
          <w:b/>
        </w:rPr>
        <w:tab/>
        <w:t xml:space="preserve">Kas žinotina prieš vartojant </w:t>
      </w:r>
      <w:bookmarkEnd w:id="5"/>
      <w:bookmarkEnd w:id="6"/>
      <w:r>
        <w:rPr>
          <w:rFonts w:ascii="Times New Roman" w:eastAsia="Times New Roman" w:hAnsi="Times New Roman"/>
          <w:b/>
        </w:rPr>
        <w:t>Antiprost</w:t>
      </w:r>
    </w:p>
    <w:p w:rsidR="00B42B59" w:rsidRDefault="00B42B59" w:rsidP="00B42B59">
      <w:pPr>
        <w:keepNext/>
        <w:tabs>
          <w:tab w:val="left" w:pos="567"/>
        </w:tabs>
        <w:spacing w:after="0" w:line="240" w:lineRule="auto"/>
        <w:ind w:left="567" w:hanging="567"/>
        <w:outlineLvl w:val="1"/>
        <w:rPr>
          <w:rFonts w:ascii="Times New Roman" w:eastAsia="Times New Roman" w:hAnsi="Times New Roman"/>
          <w:b/>
        </w:rPr>
      </w:pPr>
    </w:p>
    <w:p w:rsidR="00B42B59" w:rsidRDefault="00B42B59" w:rsidP="00B42B59">
      <w:pPr>
        <w:spacing w:after="0" w:line="220" w:lineRule="exact"/>
        <w:rPr>
          <w:rFonts w:ascii="Times New Roman" w:eastAsia="Times New Roman" w:hAnsi="Times New Roman"/>
          <w:b/>
          <w:bCs/>
        </w:rPr>
      </w:pPr>
      <w:r>
        <w:rPr>
          <w:rFonts w:ascii="Times New Roman" w:eastAsia="Times New Roman" w:hAnsi="Times New Roman"/>
          <w:b/>
          <w:bCs/>
        </w:rPr>
        <w:t>Antiprost vartoti negalima:</w:t>
      </w:r>
    </w:p>
    <w:p w:rsidR="00B42B59" w:rsidRDefault="00B42B59" w:rsidP="00B42B59">
      <w:pPr>
        <w:spacing w:after="0" w:line="220" w:lineRule="exact"/>
        <w:rPr>
          <w:rFonts w:ascii="Times New Roman" w:eastAsia="Times New Roman" w:hAnsi="Times New Roman"/>
          <w:b/>
          <w:bCs/>
        </w:rPr>
      </w:pPr>
    </w:p>
    <w:p w:rsidR="00B42B59" w:rsidRDefault="00B42B59" w:rsidP="00B42B59">
      <w:pPr>
        <w:numPr>
          <w:ilvl w:val="0"/>
          <w:numId w:val="3"/>
        </w:numPr>
        <w:spacing w:after="0" w:line="240" w:lineRule="auto"/>
        <w:ind w:left="567" w:hanging="567"/>
        <w:contextualSpacing/>
        <w:rPr>
          <w:rFonts w:ascii="Times New Roman" w:eastAsia="Times New Roman" w:hAnsi="Times New Roman"/>
          <w:noProof/>
        </w:rPr>
      </w:pPr>
      <w:r>
        <w:rPr>
          <w:rFonts w:ascii="Times New Roman" w:eastAsia="Times New Roman" w:hAnsi="Times New Roman"/>
          <w:noProof/>
        </w:rPr>
        <w:t>jeigu yra alergija finasteridui arba bet kuriai pagalbinei šio vaisto medžiagai (jos išvardytos 6 skyriuje);</w:t>
      </w:r>
    </w:p>
    <w:p w:rsidR="00B42B59" w:rsidRDefault="00B42B59" w:rsidP="00B42B59">
      <w:pPr>
        <w:numPr>
          <w:ilvl w:val="0"/>
          <w:numId w:val="3"/>
        </w:numPr>
        <w:spacing w:after="0" w:line="240" w:lineRule="auto"/>
        <w:ind w:left="567" w:hanging="567"/>
        <w:contextualSpacing/>
        <w:rPr>
          <w:rFonts w:ascii="Times New Roman" w:eastAsia="Times New Roman" w:hAnsi="Times New Roman"/>
          <w:noProof/>
        </w:rPr>
      </w:pPr>
      <w:r>
        <w:rPr>
          <w:rFonts w:ascii="Times New Roman" w:eastAsia="Times New Roman" w:hAnsi="Times New Roman"/>
          <w:noProof/>
        </w:rPr>
        <w:t>jeigu esate moteris (žr. skyrių „Nėštumas ir žindymas“).</w:t>
      </w:r>
    </w:p>
    <w:p w:rsidR="00B42B59" w:rsidRDefault="00B42B59" w:rsidP="00B42B59">
      <w:pPr>
        <w:spacing w:after="0" w:line="240" w:lineRule="auto"/>
        <w:rPr>
          <w:rFonts w:ascii="Times New Roman" w:eastAsia="Times New Roman" w:hAnsi="Times New Roman"/>
        </w:rPr>
      </w:pPr>
    </w:p>
    <w:p w:rsidR="00B42B59" w:rsidRDefault="00B42B59" w:rsidP="00B42B59">
      <w:pPr>
        <w:keepNext/>
        <w:tabs>
          <w:tab w:val="left" w:pos="567"/>
        </w:tabs>
        <w:spacing w:after="0" w:line="260" w:lineRule="exact"/>
        <w:jc w:val="both"/>
        <w:outlineLvl w:val="3"/>
        <w:rPr>
          <w:rFonts w:ascii="Times New Roman" w:eastAsia="Times New Roman" w:hAnsi="Times New Roman"/>
          <w:b/>
        </w:rPr>
      </w:pPr>
      <w:r>
        <w:rPr>
          <w:rFonts w:ascii="Times New Roman" w:eastAsia="Times New Roman" w:hAnsi="Times New Roman"/>
          <w:b/>
          <w:bCs/>
          <w:snapToGrid w:val="0"/>
          <w:lang w:eastAsia="x-none"/>
        </w:rPr>
        <w:t>Įspėjimai ir</w:t>
      </w:r>
      <w:r>
        <w:rPr>
          <w:rFonts w:ascii="Times New Roman" w:eastAsia="Times New Roman" w:hAnsi="Times New Roman"/>
          <w:b/>
        </w:rPr>
        <w:t xml:space="preserve"> atsargumo </w:t>
      </w:r>
      <w:r>
        <w:rPr>
          <w:rFonts w:ascii="Times New Roman" w:eastAsia="Times New Roman" w:hAnsi="Times New Roman"/>
          <w:b/>
          <w:bCs/>
          <w:snapToGrid w:val="0"/>
          <w:lang w:eastAsia="x-none"/>
        </w:rPr>
        <w:t xml:space="preserve">priemonės </w:t>
      </w:r>
    </w:p>
    <w:p w:rsidR="00B42B59" w:rsidRDefault="00B42B59" w:rsidP="00B42B59">
      <w:pPr>
        <w:numPr>
          <w:ilvl w:val="12"/>
          <w:numId w:val="0"/>
        </w:numPr>
        <w:spacing w:after="0" w:line="240" w:lineRule="auto"/>
        <w:ind w:right="-2"/>
        <w:rPr>
          <w:rFonts w:ascii="Times New Roman" w:eastAsia="Times New Roman" w:hAnsi="Times New Roman"/>
          <w:snapToGrid w:val="0"/>
        </w:rPr>
      </w:pPr>
      <w:r>
        <w:rPr>
          <w:rFonts w:ascii="Times New Roman" w:eastAsia="Times New Roman" w:hAnsi="Times New Roman"/>
          <w:noProof/>
          <w:snapToGrid w:val="0"/>
        </w:rPr>
        <w:t>Pasitarkite su gydytoju arba vaistininku, prieš pradėdami vartoti Antiprost.</w:t>
      </w:r>
    </w:p>
    <w:p w:rsidR="00B42B59" w:rsidRDefault="00B42B59" w:rsidP="00B42B59">
      <w:pPr>
        <w:spacing w:after="0" w:line="220" w:lineRule="exact"/>
        <w:rPr>
          <w:rFonts w:ascii="Times New Roman" w:eastAsia="Times New Roman" w:hAnsi="Times New Roman"/>
          <w:b/>
          <w:bCs/>
        </w:rPr>
      </w:pPr>
    </w:p>
    <w:p w:rsidR="00B42B59" w:rsidRDefault="00B42B59" w:rsidP="00B42B59">
      <w:pPr>
        <w:numPr>
          <w:ilvl w:val="0"/>
          <w:numId w:val="4"/>
        </w:numPr>
        <w:spacing w:after="0" w:line="240" w:lineRule="auto"/>
        <w:ind w:left="567" w:hanging="567"/>
        <w:contextualSpacing/>
        <w:rPr>
          <w:rFonts w:ascii="Times New Roman" w:eastAsia="Times New Roman" w:hAnsi="Times New Roman"/>
          <w:noProof/>
        </w:rPr>
      </w:pPr>
      <w:r>
        <w:rPr>
          <w:rFonts w:ascii="Times New Roman" w:eastAsia="Times New Roman" w:hAnsi="Times New Roman"/>
          <w:noProof/>
        </w:rPr>
        <w:t>jeigu jums susidarė didelis liekamojo šlapimo kiekis ir (arba) smarkiai sumažėjo šlapimo tėkmė. Tokiais atvejais jus turėtų atidžiai stebėti gydytojas dėl šlaplės susiaurėjimo;</w:t>
      </w:r>
    </w:p>
    <w:p w:rsidR="00B42B59" w:rsidRDefault="00B42B59" w:rsidP="00B42B59">
      <w:pPr>
        <w:numPr>
          <w:ilvl w:val="0"/>
          <w:numId w:val="1"/>
        </w:numPr>
        <w:tabs>
          <w:tab w:val="num" w:pos="540"/>
        </w:tabs>
        <w:spacing w:after="0" w:line="240" w:lineRule="auto"/>
        <w:ind w:left="540"/>
        <w:rPr>
          <w:rFonts w:ascii="Times New Roman" w:eastAsia="Times New Roman" w:hAnsi="Times New Roman"/>
          <w:bCs/>
        </w:rPr>
      </w:pPr>
      <w:r>
        <w:rPr>
          <w:rFonts w:ascii="Times New Roman" w:eastAsia="Times New Roman" w:hAnsi="Times New Roman"/>
          <w:bCs/>
        </w:rPr>
        <w:t xml:space="preserve">jeigu jūsų seksualinė partnerė nėščia ar planuoja pastoti (žr. skyrių Nėštumas ir žindymo laikotarpis), vartojant Antiprost būtina naudotis prezervatyvu ar kitu barjerą sudarančiu kontracepcijos metodu, nes jūsų spermoje gali būti nežymus vaisto kiekis, galintis turėti įtakos vaiko lytinių organų vystymuisi. </w:t>
      </w:r>
    </w:p>
    <w:p w:rsidR="00B42B59" w:rsidRDefault="00B42B59" w:rsidP="00B42B59">
      <w:pPr>
        <w:spacing w:after="0" w:line="220" w:lineRule="exact"/>
        <w:rPr>
          <w:rFonts w:ascii="Times New Roman" w:eastAsia="Times New Roman" w:hAnsi="Times New Roman"/>
          <w:bCs/>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Jeigu kuri nors iš išvardytų aplinkybių tinka jums dabar arba pasitaikė anksčiau, pasakykite apie tai gydytojui.</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Prieš pradedant vartoti finasteridą ir jo vartojimo metu būtina atlikti klinikinį tyrimą (pirštu per tiesiąją žarną) ir nustatyti prostatos specifinio antigeno (PSA) koncentraciją kraujyje.</w:t>
      </w:r>
    </w:p>
    <w:p w:rsidR="00B42B59" w:rsidRDefault="00B42B59" w:rsidP="00B42B59">
      <w:pPr>
        <w:keepNext/>
        <w:tabs>
          <w:tab w:val="left" w:pos="567"/>
        </w:tabs>
        <w:spacing w:after="0" w:line="260" w:lineRule="exact"/>
        <w:jc w:val="both"/>
        <w:outlineLvl w:val="3"/>
        <w:rPr>
          <w:rFonts w:ascii="Times New Roman" w:eastAsia="Times New Roman" w:hAnsi="Times New Roman"/>
          <w:b/>
        </w:rPr>
      </w:pPr>
    </w:p>
    <w:p w:rsidR="00B42B59" w:rsidRDefault="00B42B59" w:rsidP="00B42B59">
      <w:pPr>
        <w:keepNext/>
        <w:tabs>
          <w:tab w:val="left" w:pos="567"/>
        </w:tabs>
        <w:spacing w:after="0" w:line="260" w:lineRule="exact"/>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Vaikams ir paaugliams</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Antiprost vaikams vartoti negalima.</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20" w:lineRule="exact"/>
        <w:rPr>
          <w:rFonts w:ascii="Times New Roman" w:eastAsia="Times New Roman" w:hAnsi="Times New Roman"/>
          <w:b/>
          <w:bCs/>
        </w:rPr>
      </w:pPr>
      <w:r>
        <w:rPr>
          <w:rFonts w:ascii="Times New Roman" w:eastAsia="Times New Roman" w:hAnsi="Times New Roman"/>
          <w:b/>
          <w:bCs/>
        </w:rPr>
        <w:t>Kiti vaistai ir Antiprost</w:t>
      </w:r>
    </w:p>
    <w:p w:rsidR="00B42B59" w:rsidRDefault="00B42B59" w:rsidP="00B42B59">
      <w:pPr>
        <w:numPr>
          <w:ilvl w:val="12"/>
          <w:numId w:val="0"/>
        </w:numPr>
        <w:spacing w:after="0" w:line="240" w:lineRule="auto"/>
        <w:ind w:right="-2"/>
        <w:rPr>
          <w:rFonts w:ascii="Times New Roman" w:eastAsia="Times New Roman" w:hAnsi="Times New Roman"/>
        </w:rPr>
      </w:pPr>
      <w:r>
        <w:rPr>
          <w:rFonts w:ascii="Times New Roman" w:eastAsia="Times New Roman" w:hAnsi="Times New Roman"/>
        </w:rPr>
        <w:t xml:space="preserve">Jeigu vartojate </w:t>
      </w:r>
      <w:r>
        <w:rPr>
          <w:rFonts w:ascii="Times New Roman" w:eastAsia="Times New Roman" w:hAnsi="Times New Roman"/>
          <w:noProof/>
          <w:snapToGrid w:val="0"/>
        </w:rPr>
        <w:t>ar</w:t>
      </w:r>
      <w:r>
        <w:rPr>
          <w:rFonts w:ascii="Times New Roman" w:eastAsia="Times New Roman" w:hAnsi="Times New Roman"/>
        </w:rPr>
        <w:t xml:space="preserve"> neseniai vartojote kitų vaistų</w:t>
      </w:r>
      <w:r>
        <w:rPr>
          <w:rFonts w:ascii="Times New Roman" w:eastAsia="Times New Roman" w:hAnsi="Times New Roman"/>
          <w:noProof/>
          <w:snapToGrid w:val="0"/>
        </w:rPr>
        <w:t xml:space="preserve"> arba dėl to nesate tikri, apie tai</w:t>
      </w:r>
      <w:r>
        <w:rPr>
          <w:rFonts w:ascii="Times New Roman" w:eastAsia="Times New Roman" w:hAnsi="Times New Roman"/>
        </w:rPr>
        <w:t xml:space="preserve"> pasakykite gydytojui arba vaistininkui.</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Reikšmingos sąveikos su kitais vaistais nenurodoma.</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20" w:lineRule="exact"/>
        <w:rPr>
          <w:rFonts w:ascii="Times New Roman" w:eastAsia="Times New Roman" w:hAnsi="Times New Roman"/>
          <w:b/>
          <w:bCs/>
        </w:rPr>
      </w:pPr>
      <w:r>
        <w:rPr>
          <w:rFonts w:ascii="Times New Roman" w:eastAsia="Times New Roman" w:hAnsi="Times New Roman"/>
          <w:b/>
          <w:bCs/>
        </w:rPr>
        <w:t>Antiprost vartojimas su maistu ir gėrimais</w:t>
      </w:r>
    </w:p>
    <w:p w:rsidR="00B42B59" w:rsidRDefault="00B42B59" w:rsidP="00B42B59">
      <w:pPr>
        <w:spacing w:after="0" w:line="220" w:lineRule="exact"/>
        <w:rPr>
          <w:rFonts w:ascii="Times New Roman" w:eastAsia="Times New Roman" w:hAnsi="Times New Roman"/>
          <w:b/>
          <w:bCs/>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Antiprost galima vartoti su maistu arba be jo.</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20" w:lineRule="exact"/>
        <w:rPr>
          <w:rFonts w:ascii="Times New Roman" w:eastAsia="Times New Roman" w:hAnsi="Times New Roman"/>
          <w:b/>
          <w:bCs/>
        </w:rPr>
      </w:pPr>
      <w:r>
        <w:rPr>
          <w:rFonts w:ascii="Times New Roman" w:eastAsia="Times New Roman" w:hAnsi="Times New Roman"/>
          <w:b/>
          <w:bCs/>
        </w:rPr>
        <w:t>Nėštumas ir žindymo laikotarpis</w:t>
      </w:r>
    </w:p>
    <w:p w:rsidR="00B42B59" w:rsidRDefault="00B42B59" w:rsidP="00B42B59">
      <w:pPr>
        <w:spacing w:after="0" w:line="220" w:lineRule="exact"/>
        <w:rPr>
          <w:rFonts w:ascii="Times New Roman" w:eastAsia="Times New Roman" w:hAnsi="Times New Roman"/>
          <w:b/>
          <w:bCs/>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Prieš vartojant bet kokį vaistą, būtina pasitarti su gydytoju arba vaistininku.</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b/>
        </w:rPr>
        <w:t>Nėščioms ir vaisingoms moterims negalima liesti perlaužtų ar kitaip pažeistų Antiprost tablečių.</w:t>
      </w:r>
      <w:r>
        <w:rPr>
          <w:rFonts w:ascii="Times New Roman" w:eastAsia="Times New Roman" w:hAnsi="Times New Roman"/>
        </w:rPr>
        <w:t xml:space="preserve"> </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Jei finasterido patenka per odą arba jį išgeria nėščia moteris, gali būti nenormaliai susiformavę vyriškos lyties vaisiaus lyties organai. Vaisto tabletės yra dengtos plėvele, todėl jų neperlaužus ir nesutrynus, sąlytis su finasteridu neįmanomas. Jei nėščia moteris prisiliečia prie sutrintų arba perlaužtų Antiprost tablečių, pasitarkite su gydytoju.</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20" w:lineRule="exact"/>
        <w:rPr>
          <w:rFonts w:ascii="Times New Roman" w:eastAsia="Times New Roman" w:hAnsi="Times New Roman"/>
          <w:b/>
          <w:bCs/>
        </w:rPr>
      </w:pPr>
      <w:r>
        <w:rPr>
          <w:rFonts w:ascii="Times New Roman" w:eastAsia="Times New Roman" w:hAnsi="Times New Roman"/>
          <w:b/>
          <w:bCs/>
        </w:rPr>
        <w:t>Vairavimas ir mechanizmų valdymas</w:t>
      </w:r>
    </w:p>
    <w:p w:rsidR="00B42B59" w:rsidRDefault="00B42B59" w:rsidP="00B42B59">
      <w:pPr>
        <w:spacing w:after="0" w:line="220" w:lineRule="exact"/>
        <w:rPr>
          <w:rFonts w:ascii="Times New Roman" w:eastAsia="Times New Roman" w:hAnsi="Times New Roman"/>
          <w:b/>
          <w:bCs/>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Duomenų, nurodančių Antiprost poveikį gebėjimui vairuoti ir valdyti mechanizmus nėra.</w:t>
      </w:r>
    </w:p>
    <w:p w:rsidR="00B42B59" w:rsidRDefault="00B42B59" w:rsidP="00B42B59">
      <w:pPr>
        <w:spacing w:after="0" w:line="240" w:lineRule="auto"/>
        <w:rPr>
          <w:rFonts w:ascii="Times New Roman" w:eastAsia="Times New Roman" w:hAnsi="Times New Roman"/>
        </w:rPr>
      </w:pPr>
    </w:p>
    <w:p w:rsidR="00B42B59" w:rsidRDefault="00B42B59" w:rsidP="00B42B59">
      <w:pPr>
        <w:keepNext/>
        <w:tabs>
          <w:tab w:val="left" w:pos="567"/>
        </w:tabs>
        <w:spacing w:after="0" w:line="260" w:lineRule="exact"/>
        <w:jc w:val="both"/>
        <w:outlineLvl w:val="3"/>
        <w:rPr>
          <w:rFonts w:ascii="Times New Roman" w:eastAsia="Times New Roman" w:hAnsi="Times New Roman"/>
          <w:b/>
        </w:rPr>
      </w:pPr>
      <w:r>
        <w:rPr>
          <w:rFonts w:ascii="Times New Roman" w:eastAsia="Times New Roman" w:hAnsi="Times New Roman"/>
          <w:b/>
        </w:rPr>
        <w:t xml:space="preserve">Antiprost </w:t>
      </w:r>
      <w:r>
        <w:rPr>
          <w:rFonts w:ascii="Times New Roman" w:eastAsia="Times New Roman" w:hAnsi="Times New Roman"/>
          <w:b/>
          <w:bCs/>
          <w:snapToGrid w:val="0"/>
          <w:lang w:eastAsia="x-none"/>
        </w:rPr>
        <w:t>sudėtyje yra laktozės</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 xml:space="preserve">Vaisto sudėtyje yra laktozės. Jei gydytojas yra Jums sakęs, kad netoleruojate angliavandenių, prieš pradėdami vartoti Antiprost tabletes, pasitarkite su gydytoju. </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p>
    <w:p w:rsidR="00B42B59" w:rsidRDefault="00B42B59" w:rsidP="00B42B59">
      <w:pPr>
        <w:keepNext/>
        <w:tabs>
          <w:tab w:val="left" w:pos="567"/>
        </w:tabs>
        <w:spacing w:after="0" w:line="240" w:lineRule="auto"/>
        <w:ind w:left="567" w:hanging="567"/>
        <w:outlineLvl w:val="1"/>
        <w:rPr>
          <w:rFonts w:ascii="Times New Roman" w:eastAsia="Times New Roman" w:hAnsi="Times New Roman"/>
          <w:b/>
        </w:rPr>
      </w:pPr>
      <w:bookmarkStart w:id="7" w:name="_Toc129243266"/>
      <w:bookmarkStart w:id="8" w:name="_Toc129243141"/>
      <w:r>
        <w:rPr>
          <w:rFonts w:ascii="Times New Roman" w:eastAsia="Times New Roman" w:hAnsi="Times New Roman"/>
          <w:b/>
        </w:rPr>
        <w:t>3.</w:t>
      </w:r>
      <w:r>
        <w:rPr>
          <w:rFonts w:ascii="Times New Roman" w:eastAsia="Times New Roman" w:hAnsi="Times New Roman"/>
          <w:b/>
        </w:rPr>
        <w:tab/>
        <w:t xml:space="preserve">Kaip vartoti Antiprost </w:t>
      </w:r>
      <w:bookmarkEnd w:id="7"/>
      <w:bookmarkEnd w:id="8"/>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Šį vaistą visada vartokite tiksliai, kaip nurodė gydytojas. Jeigu abejojate, kreipkitės į gydytoją arba vaistininką.</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Rekomenduojama dozė yra viena tabletė kartą per parą (atitinka 5 mg finasterido).</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Plėvele dengtas tabletes galima gerti nevalgius arba valgymo metu. Tabletes reikia nuryti nesukramtytas, jų negalima dalyti, laužti arba smulkinti.</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 xml:space="preserve">Pradėjus vartoti vaistą, ligos simptomai greitai palengvėja, bet vaistą reikia vartoti ne trumpiau kaip 6 mėnesius, nes tik tuomet galima pasiekti reikiamą poveikį. </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Gydytojas Jums pasakys kiek laiko reikia vartoti Antiprost 5 mg tabletes. Nenutraukite vaisto vartojimo anksčiau, nes ligos simptomai gali pasikartoti.</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b/>
        </w:rPr>
      </w:pPr>
      <w:r>
        <w:rPr>
          <w:rFonts w:ascii="Times New Roman" w:eastAsia="Times New Roman" w:hAnsi="Times New Roman"/>
          <w:b/>
        </w:rPr>
        <w:t>Kepenų funkcijos sutrikimas</w:t>
      </w:r>
    </w:p>
    <w:p w:rsidR="00B42B59" w:rsidRDefault="00B42B59" w:rsidP="00B42B59">
      <w:pPr>
        <w:spacing w:after="0" w:line="240" w:lineRule="auto"/>
        <w:rPr>
          <w:rFonts w:ascii="Times New Roman" w:eastAsia="Times New Roman" w:hAnsi="Times New Roman"/>
          <w:b/>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Apie Antiprost 5 mg tablečių vartojimą pacientams su sutrikusia kepenų funkcija patyrimo nėra (žr. skyrių „Specialių atsargumo priemonių reikia“).</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b/>
        </w:rPr>
      </w:pPr>
      <w:r>
        <w:rPr>
          <w:rFonts w:ascii="Times New Roman" w:eastAsia="Times New Roman" w:hAnsi="Times New Roman"/>
          <w:b/>
        </w:rPr>
        <w:t>Inkstų funkcijos sutrikimas</w:t>
      </w:r>
    </w:p>
    <w:p w:rsidR="00B42B59" w:rsidRDefault="00B42B59" w:rsidP="00B42B59">
      <w:pPr>
        <w:spacing w:after="0" w:line="240" w:lineRule="auto"/>
        <w:rPr>
          <w:rFonts w:ascii="Times New Roman" w:eastAsia="Times New Roman" w:hAnsi="Times New Roman"/>
          <w:b/>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Dozės koreguoti nereikia. Antiprost 5 mg tablečių vartojimas dializuojamiems pacientams iki šiol neištirtas.</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b/>
        </w:rPr>
      </w:pPr>
      <w:r>
        <w:rPr>
          <w:rFonts w:ascii="Times New Roman" w:eastAsia="Times New Roman" w:hAnsi="Times New Roman"/>
          <w:b/>
        </w:rPr>
        <w:t>Senyvi pacientai</w:t>
      </w:r>
    </w:p>
    <w:p w:rsidR="00B42B59" w:rsidRDefault="00B42B59" w:rsidP="00B42B59">
      <w:pPr>
        <w:spacing w:after="0" w:line="240" w:lineRule="auto"/>
        <w:rPr>
          <w:rFonts w:ascii="Times New Roman" w:eastAsia="Times New Roman" w:hAnsi="Times New Roman"/>
          <w:b/>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Dozės koreguoti nereikia.</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Jei manote, kad Antiprost 5 mg tabletės veikia per stipriai arba per silpnai, kreipkitės į gydytoją arba vaistininką.</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20" w:lineRule="exact"/>
        <w:rPr>
          <w:rFonts w:ascii="Times New Roman" w:eastAsia="Times New Roman" w:hAnsi="Times New Roman"/>
          <w:b/>
          <w:bCs/>
        </w:rPr>
      </w:pPr>
      <w:r>
        <w:rPr>
          <w:rFonts w:ascii="Times New Roman" w:eastAsia="Times New Roman" w:hAnsi="Times New Roman"/>
          <w:b/>
          <w:bCs/>
        </w:rPr>
        <w:t>Ką daryti pavartojus per didelę Antiprost dozę?</w:t>
      </w:r>
    </w:p>
    <w:p w:rsidR="00B42B59" w:rsidRDefault="00B42B59" w:rsidP="00B42B59">
      <w:pPr>
        <w:spacing w:after="0" w:line="220" w:lineRule="exact"/>
        <w:rPr>
          <w:rFonts w:ascii="Times New Roman" w:eastAsia="Times New Roman" w:hAnsi="Times New Roman"/>
          <w:b/>
          <w:bCs/>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Išgėrę per daug Antiprost 5 mg tablečių, nedelsdami pasikonsultuokite su gydytoju. Jei vaikas išgėrė Antiprost 5 mg tablečių, kuo skubiau kreipkitės į gydytoją.</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20" w:lineRule="exact"/>
        <w:rPr>
          <w:rFonts w:ascii="Times New Roman" w:eastAsia="Times New Roman" w:hAnsi="Times New Roman"/>
          <w:b/>
          <w:bCs/>
        </w:rPr>
      </w:pPr>
      <w:r>
        <w:rPr>
          <w:rFonts w:ascii="Times New Roman" w:eastAsia="Times New Roman" w:hAnsi="Times New Roman"/>
          <w:b/>
          <w:bCs/>
        </w:rPr>
        <w:t>Pamiršus pavartoti Antiprost</w:t>
      </w:r>
    </w:p>
    <w:p w:rsidR="00B42B59" w:rsidRDefault="00B42B59" w:rsidP="00B42B59">
      <w:pPr>
        <w:spacing w:after="0" w:line="220" w:lineRule="exact"/>
        <w:rPr>
          <w:rFonts w:ascii="Times New Roman" w:eastAsia="Times New Roman" w:hAnsi="Times New Roman"/>
          <w:b/>
          <w:bCs/>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Jei pamiršote išgerti Antiprost 5 mg dozę, galite išgerti vaisto tuoj pat, kai apie tai prisiminsite. Jei apie tai prisiminėte atėjus laikui gerti vaisto, negalima vartoti dvigubos dozės norint kompensuoti praleistą dozę.</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Jeigu kiltų daugiau klausimų dėl šio vaisto vartojimo, kreipkitės į gydytoją arba vaistininką.</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p>
    <w:p w:rsidR="00B42B59" w:rsidRDefault="00B42B59" w:rsidP="00B42B59">
      <w:pPr>
        <w:keepNext/>
        <w:tabs>
          <w:tab w:val="left" w:pos="567"/>
        </w:tabs>
        <w:spacing w:after="0" w:line="240" w:lineRule="auto"/>
        <w:ind w:left="567" w:hanging="567"/>
        <w:outlineLvl w:val="1"/>
        <w:rPr>
          <w:rFonts w:ascii="Times New Roman" w:eastAsia="Times New Roman" w:hAnsi="Times New Roman"/>
          <w:b/>
        </w:rPr>
      </w:pPr>
      <w:bookmarkStart w:id="9" w:name="_Toc129243267"/>
      <w:bookmarkStart w:id="10" w:name="_Toc129243142"/>
      <w:r>
        <w:rPr>
          <w:rFonts w:ascii="Times New Roman" w:eastAsia="Times New Roman" w:hAnsi="Times New Roman"/>
          <w:b/>
        </w:rPr>
        <w:t>4.</w:t>
      </w:r>
      <w:r>
        <w:rPr>
          <w:rFonts w:ascii="Times New Roman" w:eastAsia="Times New Roman" w:hAnsi="Times New Roman"/>
          <w:b/>
        </w:rPr>
        <w:tab/>
        <w:t>Galimas šalutinis poveikis</w:t>
      </w:r>
      <w:bookmarkEnd w:id="9"/>
      <w:bookmarkEnd w:id="10"/>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Šis vaistas, kaip ir visi kiti vaistai, gali sukelti šalutinį poveikį, nors jis pasireiškia ne visiems žmonėms.</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Nepageidaujamo poveikio požymiai pagal sunkumą ir dažnį klasifikuojami tokiu būdu:</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Labai dažni: pasitaiko dažniau kaip 1 iš 10 pacientų.</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Dažni: pasitaiko  1-10 iš 100 pacientų.</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Nedažni: pasitaiko  1-10 iš 1000 pacientų.</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 xml:space="preserve">Reti: pasitaiko  1-10 iš 10000 pacientų. </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Labai reti: pasitaiko rečiau kaip 1 iš 10000 pacientų.</w:t>
      </w: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Dažnis nežinomas: negali būti įvertintas pagal turimus duomenis.</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Dažniausias šalutinis poveikis yra impotencija ir sumažėjęs lytinis potraukis. Šis poveikis neretai pasireiškia vartojimo pradžioje, bet dažniausiai daugumai pacientų trunka neilgai.</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Jei atsiranda kokių nors jūsų krūtų pakitimų: gumbai, skausmas, padidėjimas ar spenelio įtraukimas, kurie gali būti sunkaus sutrikimo, pavyzdžiui krūties vėžio, požymis, skubiai kreipkitės į gydytoją.</w:t>
      </w:r>
    </w:p>
    <w:p w:rsidR="00B42B59" w:rsidRDefault="00B42B59" w:rsidP="00B42B59">
      <w:pPr>
        <w:tabs>
          <w:tab w:val="left" w:pos="567"/>
        </w:tabs>
        <w:spacing w:after="0" w:line="260" w:lineRule="exact"/>
        <w:ind w:left="567"/>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Dažni: sumažėjęs ejakuliato kiekis, impotencija, sumažėjęs lytinis potraukis.</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lastRenderedPageBreak/>
        <w:t>Nedažni: bėrimas, sutrikusi ejakuliacija, krūtų jautrumas arba padidėjimas.</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Dažnis nežinomas: juntamas širdies plakimas, niežulys, dilgėlinė, padidėjusio jautrumo reakcija, įskaitant lūpų ir veido patinimą, padidėjęs kepenų fermentų kiekis, sėklidžių skausmas.</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Finasteridas gali turėti įtakos PSA tyrimų rezultatams.</w:t>
      </w:r>
    </w:p>
    <w:p w:rsidR="00B42B59" w:rsidRDefault="00B42B59" w:rsidP="00B42B59">
      <w:pPr>
        <w:spacing w:after="0" w:line="240" w:lineRule="auto"/>
        <w:rPr>
          <w:rFonts w:ascii="Times New Roman" w:eastAsia="Times New Roman" w:hAnsi="Times New Roman"/>
        </w:rPr>
      </w:pPr>
    </w:p>
    <w:p w:rsidR="00B42B59" w:rsidRDefault="00B42B59" w:rsidP="00B42B59">
      <w:pPr>
        <w:tabs>
          <w:tab w:val="left" w:pos="567"/>
        </w:tabs>
        <w:spacing w:after="0" w:line="240" w:lineRule="auto"/>
        <w:rPr>
          <w:rFonts w:ascii="Times New Roman" w:eastAsia="Times New Roman" w:hAnsi="Times New Roman"/>
          <w:b/>
          <w:snapToGrid w:val="0"/>
        </w:rPr>
      </w:pPr>
      <w:r>
        <w:rPr>
          <w:rFonts w:ascii="Times New Roman" w:eastAsia="Times New Roman" w:hAnsi="Times New Roman"/>
          <w:b/>
          <w:noProof/>
          <w:snapToGrid w:val="0"/>
        </w:rPr>
        <w:t>Pranešimas apie šalutinį poveikį</w:t>
      </w:r>
    </w:p>
    <w:p w:rsidR="00B42B59" w:rsidRDefault="00B42B59" w:rsidP="00B42B59">
      <w:pPr>
        <w:tabs>
          <w:tab w:val="left" w:pos="567"/>
        </w:tabs>
        <w:spacing w:after="0" w:line="260" w:lineRule="exact"/>
        <w:ind w:right="-449"/>
        <w:rPr>
          <w:rFonts w:ascii="Times New Roman" w:eastAsia="Times New Roman" w:hAnsi="Times New Roman"/>
        </w:rPr>
      </w:pPr>
      <w:r>
        <w:rPr>
          <w:rFonts w:ascii="Times New Roman" w:eastAsia="Times New Roman" w:hAnsi="Times New Roman"/>
        </w:rPr>
        <w:t>Jeigu pasireiškė šalutinis poveikis</w:t>
      </w:r>
      <w:r>
        <w:rPr>
          <w:rFonts w:ascii="Times New Roman" w:eastAsia="Times New Roman" w:hAnsi="Times New Roman"/>
          <w:noProof/>
          <w:snapToGrid w:val="0"/>
        </w:rPr>
        <w:t>, įskaitant</w:t>
      </w:r>
      <w:r>
        <w:rPr>
          <w:rFonts w:ascii="Times New Roman" w:eastAsia="Times New Roman" w:hAnsi="Times New Roman"/>
        </w:rPr>
        <w:t xml:space="preserve"> šiame lapelyje nenurodytą, pasakykite gydytojui arba vaistininkui.</w:t>
      </w:r>
      <w:r>
        <w:rPr>
          <w:rFonts w:ascii="Times New Roman" w:eastAsia="Times New Roman" w:hAnsi="Times New Roman"/>
          <w:noProof/>
          <w:snapToGrid w:val="0"/>
        </w:rPr>
        <w:t xml:space="preserve"> </w:t>
      </w:r>
      <w:r>
        <w:rPr>
          <w:rFonts w:ascii="Times New Roman" w:hAnsi="Times New Roman"/>
          <w:noProof/>
        </w:rPr>
        <w:t xml:space="preserve">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ascii="Times New Roman" w:eastAsia="SimSun" w:hAnsi="Times New Roman"/>
            <w:noProof/>
            <w:color w:val="auto"/>
            <w:u w:val="none"/>
          </w:rPr>
          <w:t>www.vvkt.lt</w:t>
        </w:r>
      </w:hyperlink>
      <w:r>
        <w:rPr>
          <w:rFonts w:ascii="Times New Roman" w:hAnsi="Times New Roman"/>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Pr>
            <w:rStyle w:val="Hyperlink"/>
            <w:rFonts w:ascii="Times New Roman" w:eastAsia="SimSun" w:hAnsi="Times New Roman"/>
            <w:noProof/>
            <w:color w:val="auto"/>
            <w:u w:val="none"/>
          </w:rPr>
          <w:t>NepageidaujamaR@vvkt.lt</w:t>
        </w:r>
      </w:hyperlink>
      <w:r>
        <w:rPr>
          <w:rFonts w:ascii="Times New Roman" w:hAnsi="Times New Roman"/>
          <w:noProof/>
        </w:rPr>
        <w:t xml:space="preserve">, taip pat per Valstybinės vaistų kontrolės tarnybos prie Lietuvos Respublikos sveikatos apsaugos ministerijos interneto svetainę (adresu </w:t>
      </w:r>
      <w:hyperlink r:id="rId8" w:history="1">
        <w:r>
          <w:rPr>
            <w:rStyle w:val="Hyperlink"/>
            <w:rFonts w:ascii="Times New Roman" w:eastAsia="SimSun" w:hAnsi="Times New Roman"/>
            <w:noProof/>
            <w:color w:val="auto"/>
            <w:u w:val="none"/>
          </w:rPr>
          <w:t>http://www.vvkt.lt</w:t>
        </w:r>
      </w:hyperlink>
      <w:r>
        <w:rPr>
          <w:rFonts w:ascii="Times New Roman" w:hAnsi="Times New Roman"/>
          <w:noProof/>
        </w:rPr>
        <w:t>). Pranešdami apie šalutinį poveikį galite mums padėti gauti daugiau informacijos apie šio vaisto saugumą.</w:t>
      </w:r>
    </w:p>
    <w:p w:rsidR="00B42B59" w:rsidRDefault="00B42B59" w:rsidP="00B42B59">
      <w:pPr>
        <w:spacing w:after="0" w:line="240" w:lineRule="auto"/>
        <w:rPr>
          <w:rFonts w:ascii="Times New Roman" w:eastAsia="Times New Roman" w:hAnsi="Times New Roman"/>
        </w:rPr>
      </w:pPr>
    </w:p>
    <w:p w:rsidR="00B42B59" w:rsidRDefault="00B42B59" w:rsidP="00B42B59">
      <w:pPr>
        <w:keepNext/>
        <w:tabs>
          <w:tab w:val="left" w:pos="567"/>
        </w:tabs>
        <w:spacing w:after="0" w:line="240" w:lineRule="auto"/>
        <w:ind w:left="567" w:hanging="567"/>
        <w:outlineLvl w:val="1"/>
        <w:rPr>
          <w:rFonts w:ascii="Times New Roman" w:eastAsia="Times New Roman" w:hAnsi="Times New Roman"/>
          <w:b/>
        </w:rPr>
      </w:pPr>
      <w:bookmarkStart w:id="11" w:name="_Toc129243268"/>
      <w:bookmarkStart w:id="12" w:name="_Toc129243143"/>
    </w:p>
    <w:p w:rsidR="00B42B59" w:rsidRDefault="00B42B59" w:rsidP="00B42B59">
      <w:pPr>
        <w:keepNext/>
        <w:tabs>
          <w:tab w:val="left" w:pos="567"/>
        </w:tabs>
        <w:spacing w:after="0" w:line="240" w:lineRule="auto"/>
        <w:ind w:left="567" w:hanging="567"/>
        <w:outlineLvl w:val="1"/>
        <w:rPr>
          <w:rFonts w:ascii="Times New Roman" w:eastAsia="Times New Roman" w:hAnsi="Times New Roman"/>
          <w:b/>
        </w:rPr>
      </w:pPr>
      <w:r>
        <w:rPr>
          <w:rFonts w:ascii="Times New Roman" w:eastAsia="Times New Roman" w:hAnsi="Times New Roman"/>
          <w:b/>
        </w:rPr>
        <w:t>5.</w:t>
      </w:r>
      <w:r>
        <w:rPr>
          <w:rFonts w:ascii="Times New Roman" w:eastAsia="Times New Roman" w:hAnsi="Times New Roman"/>
          <w:b/>
        </w:rPr>
        <w:tab/>
        <w:t xml:space="preserve">Kaip laikyti </w:t>
      </w:r>
      <w:bookmarkEnd w:id="11"/>
      <w:bookmarkEnd w:id="12"/>
      <w:r>
        <w:rPr>
          <w:rFonts w:ascii="Times New Roman" w:eastAsia="Times New Roman" w:hAnsi="Times New Roman"/>
          <w:b/>
        </w:rPr>
        <w:t>Antiprost</w:t>
      </w:r>
    </w:p>
    <w:p w:rsidR="00B42B59" w:rsidRDefault="00B42B59" w:rsidP="00B42B59">
      <w:pPr>
        <w:keepNext/>
        <w:tabs>
          <w:tab w:val="left" w:pos="567"/>
        </w:tabs>
        <w:spacing w:after="0" w:line="240" w:lineRule="auto"/>
        <w:ind w:left="567" w:hanging="567"/>
        <w:outlineLvl w:val="1"/>
        <w:rPr>
          <w:rFonts w:ascii="Times New Roman" w:eastAsia="Times New Roman" w:hAnsi="Times New Roman"/>
          <w:b/>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Laikyti vaikams nepastebimoje ir nepasiekiamoje vietoje.</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Šiam vaistiniam preparatui specialių laikymo sąlygų nereikia.</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Ant etiketės, lizdinės plokštelės ir dėžutės „Tinka iki/EXP“ nurodytam tinkamumo laikui pasibaigus, Antiprost vartoti negalima. Vaistas tinka vartoti iki paskutinės nurodyto mėnesio dienos.</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r>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40" w:lineRule="auto"/>
        <w:rPr>
          <w:rFonts w:ascii="Times New Roman" w:eastAsia="Times New Roman" w:hAnsi="Times New Roman"/>
        </w:rPr>
      </w:pPr>
    </w:p>
    <w:p w:rsidR="00B42B59" w:rsidRDefault="00B42B59" w:rsidP="00B42B59">
      <w:pPr>
        <w:keepNext/>
        <w:tabs>
          <w:tab w:val="left" w:pos="567"/>
        </w:tabs>
        <w:spacing w:after="0" w:line="240" w:lineRule="auto"/>
        <w:ind w:left="567" w:hanging="567"/>
        <w:outlineLvl w:val="1"/>
        <w:rPr>
          <w:rFonts w:ascii="Times New Roman" w:eastAsia="Times New Roman" w:hAnsi="Times New Roman"/>
          <w:b/>
        </w:rPr>
      </w:pPr>
      <w:bookmarkStart w:id="13" w:name="_Toc129243269"/>
      <w:bookmarkStart w:id="14" w:name="_Toc129243144"/>
      <w:r>
        <w:rPr>
          <w:rFonts w:ascii="Times New Roman" w:eastAsia="Times New Roman" w:hAnsi="Times New Roman"/>
          <w:b/>
        </w:rPr>
        <w:t>6.</w:t>
      </w:r>
      <w:r>
        <w:rPr>
          <w:rFonts w:ascii="Times New Roman" w:eastAsia="Times New Roman" w:hAnsi="Times New Roman"/>
          <w:b/>
        </w:rPr>
        <w:tab/>
        <w:t>Pakuotės turinys ir kita informacija</w:t>
      </w:r>
      <w:bookmarkEnd w:id="13"/>
      <w:bookmarkEnd w:id="14"/>
    </w:p>
    <w:p w:rsidR="00B42B59" w:rsidRDefault="00B42B59" w:rsidP="00B42B59">
      <w:pPr>
        <w:spacing w:after="0" w:line="240" w:lineRule="auto"/>
        <w:rPr>
          <w:rFonts w:ascii="Times New Roman" w:eastAsia="Times New Roman" w:hAnsi="Times New Roman"/>
        </w:rPr>
      </w:pPr>
    </w:p>
    <w:p w:rsidR="00B42B59" w:rsidRDefault="00B42B59" w:rsidP="00B42B59">
      <w:pPr>
        <w:spacing w:after="0" w:line="220" w:lineRule="exact"/>
        <w:rPr>
          <w:rFonts w:ascii="Times New Roman" w:eastAsia="Times New Roman" w:hAnsi="Times New Roman"/>
          <w:b/>
          <w:bCs/>
        </w:rPr>
      </w:pPr>
      <w:r>
        <w:rPr>
          <w:rFonts w:ascii="Times New Roman" w:eastAsia="Times New Roman" w:hAnsi="Times New Roman"/>
          <w:b/>
          <w:bCs/>
        </w:rPr>
        <w:t>Antiprost sudėtis</w:t>
      </w:r>
    </w:p>
    <w:p w:rsidR="00B42B59" w:rsidRDefault="00B42B59" w:rsidP="00B42B59">
      <w:pPr>
        <w:spacing w:after="0" w:line="240" w:lineRule="auto"/>
        <w:rPr>
          <w:rFonts w:ascii="Times New Roman" w:eastAsia="Times New Roman" w:hAnsi="Times New Roman"/>
        </w:rPr>
      </w:pPr>
    </w:p>
    <w:p w:rsidR="00B42B59" w:rsidRDefault="00B42B59" w:rsidP="00B42B59">
      <w:pPr>
        <w:numPr>
          <w:ilvl w:val="0"/>
          <w:numId w:val="5"/>
        </w:numPr>
        <w:spacing w:after="0" w:line="240" w:lineRule="auto"/>
        <w:ind w:left="567" w:hanging="567"/>
        <w:contextualSpacing/>
        <w:rPr>
          <w:rFonts w:ascii="Times New Roman" w:eastAsia="Times New Roman" w:hAnsi="Times New Roman"/>
          <w:noProof/>
        </w:rPr>
      </w:pPr>
      <w:r>
        <w:rPr>
          <w:rFonts w:ascii="Times New Roman" w:eastAsia="Times New Roman" w:hAnsi="Times New Roman"/>
          <w:noProof/>
        </w:rPr>
        <w:t>Veiklioji medžiaga yra finasteridas. Vienoje plėvele dengtoje tabletėje yra 5 mg finasterido.</w:t>
      </w:r>
    </w:p>
    <w:p w:rsidR="00B42B59" w:rsidRDefault="00B42B59" w:rsidP="00B42B59">
      <w:pPr>
        <w:numPr>
          <w:ilvl w:val="0"/>
          <w:numId w:val="5"/>
        </w:numPr>
        <w:spacing w:after="0" w:line="240" w:lineRule="auto"/>
        <w:ind w:left="567" w:hanging="567"/>
        <w:contextualSpacing/>
        <w:rPr>
          <w:rFonts w:ascii="Times New Roman" w:eastAsia="Times New Roman" w:hAnsi="Times New Roman"/>
          <w:noProof/>
        </w:rPr>
      </w:pPr>
      <w:r>
        <w:rPr>
          <w:rFonts w:ascii="Times New Roman" w:eastAsia="Times New Roman" w:hAnsi="Times New Roman"/>
          <w:noProof/>
        </w:rPr>
        <w:t>Pagalbinės medžiagos. Tabletės branduolys: laktozė monohidratas, mikrokristalinė celiuliozė, pregelifikuotas kukurūzų krakmolas, karboksimetilkrakmolo A natrio druska, magnio stearatas, natrio laurilsulfatas. Tabletės plėvelė: hipromeliozė, mikrokristalinės celiuliozė, makrogolio stearatas (I tipo).</w:t>
      </w:r>
    </w:p>
    <w:p w:rsidR="00B42B59" w:rsidRDefault="00B42B59" w:rsidP="00B42B59">
      <w:pPr>
        <w:spacing w:after="0" w:line="240" w:lineRule="auto"/>
        <w:rPr>
          <w:rFonts w:ascii="Times New Roman" w:eastAsia="Times New Roman" w:hAnsi="Times New Roman"/>
        </w:rPr>
      </w:pPr>
    </w:p>
    <w:p w:rsidR="00B42B59" w:rsidRDefault="00B42B59" w:rsidP="00B42B59">
      <w:pPr>
        <w:numPr>
          <w:ilvl w:val="12"/>
          <w:numId w:val="0"/>
        </w:numPr>
        <w:tabs>
          <w:tab w:val="left" w:pos="720"/>
        </w:tabs>
        <w:spacing w:after="0" w:line="240" w:lineRule="auto"/>
        <w:ind w:right="-2"/>
        <w:rPr>
          <w:rFonts w:ascii="Times New Roman" w:hAnsi="Times New Roman"/>
          <w:b/>
        </w:rPr>
      </w:pPr>
      <w:r>
        <w:rPr>
          <w:rFonts w:ascii="Times New Roman" w:hAnsi="Times New Roman"/>
          <w:b/>
        </w:rPr>
        <w:t>Antiprost išvaizda ir kiekis pakuotėje</w:t>
      </w:r>
    </w:p>
    <w:p w:rsidR="00B42B59" w:rsidRDefault="00B42B59" w:rsidP="00B42B59">
      <w:pPr>
        <w:tabs>
          <w:tab w:val="left" w:pos="567"/>
        </w:tabs>
        <w:spacing w:after="0" w:line="240" w:lineRule="auto"/>
        <w:rPr>
          <w:rFonts w:ascii="Times New Roman" w:hAnsi="Times New Roman"/>
        </w:rPr>
      </w:pPr>
      <w:r>
        <w:rPr>
          <w:rFonts w:ascii="Times New Roman" w:hAnsi="Times New Roman"/>
        </w:rPr>
        <w:t xml:space="preserve">Antiprost tabletės yra baltos, apvalios, </w:t>
      </w:r>
      <w:r>
        <w:rPr>
          <w:rFonts w:ascii="Times New Roman" w:eastAsia="Times New Roman" w:hAnsi="Times New Roman"/>
        </w:rPr>
        <w:t>abipus išgaubtos 7 mm skersmens plėvele dengtos tabletės, vienoje jų pusėje įspausta „F“ ir „5“.</w:t>
      </w:r>
    </w:p>
    <w:p w:rsidR="00B42B59" w:rsidRDefault="00B42B59" w:rsidP="00B42B59">
      <w:pPr>
        <w:numPr>
          <w:ilvl w:val="12"/>
          <w:numId w:val="0"/>
        </w:numPr>
        <w:tabs>
          <w:tab w:val="left" w:pos="720"/>
        </w:tabs>
        <w:spacing w:after="0" w:line="240" w:lineRule="auto"/>
        <w:ind w:right="-2"/>
        <w:rPr>
          <w:rFonts w:ascii="Times New Roman" w:hAnsi="Times New Roman"/>
        </w:rPr>
      </w:pPr>
      <w:r>
        <w:rPr>
          <w:rFonts w:ascii="Times New Roman" w:hAnsi="Times New Roman"/>
        </w:rPr>
        <w:t>Vienoje dėžutėje yra 30 tablečių, supakuotų į lizdines plokšteles.</w:t>
      </w:r>
    </w:p>
    <w:p w:rsidR="00B42B59" w:rsidRDefault="00B42B59" w:rsidP="00B42B59">
      <w:pPr>
        <w:numPr>
          <w:ilvl w:val="12"/>
          <w:numId w:val="0"/>
        </w:numPr>
        <w:tabs>
          <w:tab w:val="left" w:pos="720"/>
        </w:tabs>
        <w:spacing w:after="0" w:line="240" w:lineRule="auto"/>
        <w:ind w:right="-2"/>
        <w:rPr>
          <w:rFonts w:ascii="Times New Roman" w:hAnsi="Times New Roman"/>
        </w:rPr>
      </w:pPr>
    </w:p>
    <w:p w:rsidR="00B42B59" w:rsidRDefault="00B42B59" w:rsidP="00B42B59">
      <w:pPr>
        <w:tabs>
          <w:tab w:val="left" w:pos="567"/>
        </w:tabs>
        <w:spacing w:after="0" w:line="240" w:lineRule="auto"/>
        <w:rPr>
          <w:rFonts w:ascii="Times New Roman" w:hAnsi="Times New Roman"/>
          <w:b/>
        </w:rPr>
      </w:pPr>
      <w:r>
        <w:rPr>
          <w:rFonts w:ascii="Times New Roman" w:hAnsi="Times New Roman"/>
          <w:b/>
        </w:rPr>
        <w:t>Gamintojas</w:t>
      </w:r>
    </w:p>
    <w:p w:rsidR="00B42B59" w:rsidRDefault="00B42B59" w:rsidP="00B42B59">
      <w:pPr>
        <w:tabs>
          <w:tab w:val="left" w:pos="567"/>
        </w:tabs>
        <w:spacing w:after="0" w:line="240" w:lineRule="auto"/>
        <w:rPr>
          <w:rFonts w:ascii="Times New Roman" w:hAnsi="Times New Roman"/>
        </w:rPr>
      </w:pPr>
      <w:r>
        <w:rPr>
          <w:rFonts w:ascii="Times New Roman" w:hAnsi="Times New Roman"/>
        </w:rPr>
        <w:t>Orion Corporation, Orion Pharma</w:t>
      </w:r>
    </w:p>
    <w:p w:rsidR="00B42B59" w:rsidRDefault="00B42B59" w:rsidP="00B42B59">
      <w:pPr>
        <w:tabs>
          <w:tab w:val="left" w:pos="567"/>
        </w:tabs>
        <w:spacing w:after="0" w:line="240" w:lineRule="auto"/>
        <w:rPr>
          <w:rFonts w:ascii="Times New Roman" w:hAnsi="Times New Roman"/>
        </w:rPr>
      </w:pPr>
      <w:r>
        <w:rPr>
          <w:rFonts w:ascii="Times New Roman" w:hAnsi="Times New Roman"/>
        </w:rPr>
        <w:t>Orionintie 1</w:t>
      </w:r>
    </w:p>
    <w:p w:rsidR="00B42B59" w:rsidRDefault="00B42B59" w:rsidP="00B42B59">
      <w:pPr>
        <w:tabs>
          <w:tab w:val="left" w:pos="567"/>
        </w:tabs>
        <w:spacing w:after="0" w:line="240" w:lineRule="auto"/>
        <w:rPr>
          <w:rFonts w:ascii="Times New Roman" w:hAnsi="Times New Roman"/>
        </w:rPr>
      </w:pPr>
      <w:r>
        <w:rPr>
          <w:rFonts w:ascii="Times New Roman" w:hAnsi="Times New Roman"/>
        </w:rPr>
        <w:t>FI-02200 Espoo</w:t>
      </w:r>
    </w:p>
    <w:p w:rsidR="00B42B59" w:rsidRDefault="00B42B59" w:rsidP="00B42B59">
      <w:pPr>
        <w:tabs>
          <w:tab w:val="left" w:pos="567"/>
        </w:tabs>
        <w:spacing w:after="0" w:line="240" w:lineRule="auto"/>
        <w:rPr>
          <w:rFonts w:ascii="Times New Roman" w:hAnsi="Times New Roman"/>
        </w:rPr>
      </w:pPr>
      <w:r>
        <w:rPr>
          <w:rFonts w:ascii="Times New Roman" w:hAnsi="Times New Roman"/>
        </w:rPr>
        <w:lastRenderedPageBreak/>
        <w:t>Suomija</w:t>
      </w:r>
    </w:p>
    <w:p w:rsidR="00B42B59" w:rsidRDefault="00B42B59" w:rsidP="00B42B59">
      <w:pPr>
        <w:tabs>
          <w:tab w:val="left" w:pos="567"/>
        </w:tabs>
        <w:spacing w:after="0" w:line="240" w:lineRule="auto"/>
        <w:rPr>
          <w:rFonts w:ascii="Times New Roman" w:hAnsi="Times New Roman"/>
        </w:rPr>
      </w:pPr>
    </w:p>
    <w:p w:rsidR="00B42B59" w:rsidRDefault="00B42B59" w:rsidP="00B42B59">
      <w:pPr>
        <w:tabs>
          <w:tab w:val="left" w:pos="567"/>
        </w:tabs>
        <w:spacing w:after="0" w:line="240" w:lineRule="auto"/>
        <w:rPr>
          <w:rFonts w:ascii="Times New Roman" w:hAnsi="Times New Roman"/>
          <w:b/>
        </w:rPr>
      </w:pPr>
      <w:r>
        <w:rPr>
          <w:rFonts w:ascii="Times New Roman" w:hAnsi="Times New Roman"/>
          <w:b/>
        </w:rPr>
        <w:t xml:space="preserve">Lygiagretus importuotojas </w:t>
      </w:r>
    </w:p>
    <w:p w:rsidR="00B42B59" w:rsidRDefault="00B42B59" w:rsidP="00B42B59">
      <w:pPr>
        <w:tabs>
          <w:tab w:val="left" w:pos="567"/>
        </w:tabs>
        <w:spacing w:after="0" w:line="240" w:lineRule="auto"/>
        <w:rPr>
          <w:rFonts w:ascii="Times New Roman" w:hAnsi="Times New Roman"/>
        </w:rPr>
      </w:pPr>
      <w:r>
        <w:rPr>
          <w:rFonts w:ascii="Times New Roman" w:hAnsi="Times New Roman"/>
        </w:rPr>
        <w:t xml:space="preserve">UAB „Uncialis“ </w:t>
      </w:r>
    </w:p>
    <w:p w:rsidR="00B42B59" w:rsidRDefault="00B42B59" w:rsidP="00B42B59">
      <w:pPr>
        <w:tabs>
          <w:tab w:val="left" w:pos="567"/>
        </w:tabs>
        <w:spacing w:after="0" w:line="240" w:lineRule="auto"/>
        <w:rPr>
          <w:rFonts w:ascii="Times New Roman" w:hAnsi="Times New Roman"/>
        </w:rPr>
      </w:pPr>
      <w:r>
        <w:rPr>
          <w:rFonts w:ascii="Times New Roman" w:hAnsi="Times New Roman"/>
        </w:rPr>
        <w:t>Šeimyniškių g. 21-86</w:t>
      </w:r>
    </w:p>
    <w:p w:rsidR="00B42B59" w:rsidRDefault="00B42B59" w:rsidP="00B42B59">
      <w:pPr>
        <w:tabs>
          <w:tab w:val="left" w:pos="567"/>
        </w:tabs>
        <w:spacing w:after="0" w:line="240" w:lineRule="auto"/>
        <w:rPr>
          <w:rFonts w:ascii="Times New Roman" w:hAnsi="Times New Roman"/>
        </w:rPr>
      </w:pPr>
      <w:r>
        <w:rPr>
          <w:rFonts w:ascii="Times New Roman" w:hAnsi="Times New Roman"/>
        </w:rPr>
        <w:t>LT-09236 Vilnius</w:t>
      </w:r>
    </w:p>
    <w:p w:rsidR="00B42B59" w:rsidRDefault="00B42B59" w:rsidP="00B42B59">
      <w:pPr>
        <w:tabs>
          <w:tab w:val="left" w:pos="567"/>
        </w:tabs>
        <w:spacing w:after="0" w:line="240" w:lineRule="auto"/>
        <w:rPr>
          <w:rFonts w:ascii="Times New Roman" w:hAnsi="Times New Roman"/>
        </w:rPr>
      </w:pPr>
      <w:r>
        <w:rPr>
          <w:rFonts w:ascii="Times New Roman" w:hAnsi="Times New Roman"/>
        </w:rPr>
        <w:t>Lietuva</w:t>
      </w:r>
    </w:p>
    <w:p w:rsidR="00B42B59" w:rsidRDefault="00B42B59" w:rsidP="00B42B59">
      <w:pPr>
        <w:tabs>
          <w:tab w:val="left" w:pos="567"/>
        </w:tabs>
        <w:spacing w:after="0" w:line="240" w:lineRule="auto"/>
        <w:rPr>
          <w:rFonts w:ascii="Times New Roman" w:hAnsi="Times New Roman"/>
          <w:b/>
        </w:rPr>
      </w:pPr>
    </w:p>
    <w:p w:rsidR="00B42B59" w:rsidRDefault="00B42B59" w:rsidP="00B42B59">
      <w:pPr>
        <w:tabs>
          <w:tab w:val="left" w:pos="567"/>
        </w:tabs>
        <w:spacing w:after="0" w:line="240" w:lineRule="auto"/>
        <w:rPr>
          <w:rFonts w:ascii="Times New Roman" w:hAnsi="Times New Roman"/>
          <w:b/>
        </w:rPr>
      </w:pPr>
      <w:r>
        <w:rPr>
          <w:rFonts w:ascii="Times New Roman" w:hAnsi="Times New Roman"/>
          <w:b/>
        </w:rPr>
        <w:t xml:space="preserve">Perpakavo </w:t>
      </w:r>
    </w:p>
    <w:p w:rsidR="00B42B59" w:rsidRDefault="00B42B59" w:rsidP="00B42B59">
      <w:pPr>
        <w:tabs>
          <w:tab w:val="left" w:pos="567"/>
        </w:tabs>
        <w:spacing w:after="0" w:line="240" w:lineRule="auto"/>
        <w:rPr>
          <w:rFonts w:ascii="Times New Roman" w:hAnsi="Times New Roman"/>
        </w:rPr>
      </w:pPr>
      <w:r>
        <w:rPr>
          <w:rFonts w:ascii="Times New Roman" w:hAnsi="Times New Roman"/>
        </w:rPr>
        <w:t>UAB „Oriola Vilnius“</w:t>
      </w:r>
    </w:p>
    <w:p w:rsidR="00B42B59" w:rsidRDefault="00B42B59" w:rsidP="00B42B59">
      <w:pPr>
        <w:tabs>
          <w:tab w:val="left" w:pos="567"/>
        </w:tabs>
        <w:spacing w:after="0" w:line="240" w:lineRule="auto"/>
        <w:rPr>
          <w:rFonts w:ascii="Times New Roman" w:hAnsi="Times New Roman"/>
        </w:rPr>
      </w:pPr>
      <w:r>
        <w:rPr>
          <w:rFonts w:ascii="Times New Roman" w:hAnsi="Times New Roman"/>
        </w:rPr>
        <w:t>Laisvės pr. 75</w:t>
      </w:r>
    </w:p>
    <w:p w:rsidR="00B42B59" w:rsidRDefault="00B42B59" w:rsidP="00B42B59">
      <w:pPr>
        <w:tabs>
          <w:tab w:val="left" w:pos="567"/>
        </w:tabs>
        <w:spacing w:after="0" w:line="240" w:lineRule="auto"/>
        <w:rPr>
          <w:rFonts w:ascii="Times New Roman" w:hAnsi="Times New Roman"/>
        </w:rPr>
      </w:pPr>
      <w:r>
        <w:rPr>
          <w:rFonts w:ascii="Times New Roman" w:hAnsi="Times New Roman"/>
        </w:rPr>
        <w:t>LT-06144 Vilnius</w:t>
      </w:r>
    </w:p>
    <w:p w:rsidR="00B42B59" w:rsidRDefault="00B42B59" w:rsidP="00B42B59">
      <w:pPr>
        <w:tabs>
          <w:tab w:val="left" w:pos="567"/>
        </w:tabs>
        <w:spacing w:after="0" w:line="240" w:lineRule="auto"/>
        <w:rPr>
          <w:rFonts w:ascii="Times New Roman" w:hAnsi="Times New Roman"/>
        </w:rPr>
      </w:pPr>
      <w:r>
        <w:rPr>
          <w:rFonts w:ascii="Times New Roman" w:hAnsi="Times New Roman"/>
        </w:rPr>
        <w:t>Lietuva</w:t>
      </w:r>
    </w:p>
    <w:p w:rsidR="00B42B59" w:rsidRDefault="00B42B59" w:rsidP="00B42B59">
      <w:pPr>
        <w:tabs>
          <w:tab w:val="left" w:pos="567"/>
        </w:tabs>
        <w:spacing w:after="0" w:line="240" w:lineRule="auto"/>
        <w:rPr>
          <w:rFonts w:ascii="Times New Roman" w:hAnsi="Times New Roman"/>
        </w:rPr>
      </w:pPr>
    </w:p>
    <w:p w:rsidR="00B42B59" w:rsidRDefault="00B42B59" w:rsidP="00B42B59">
      <w:pPr>
        <w:tabs>
          <w:tab w:val="left" w:pos="567"/>
        </w:tabs>
        <w:spacing w:after="0" w:line="240" w:lineRule="auto"/>
        <w:rPr>
          <w:rFonts w:ascii="Times New Roman" w:hAnsi="Times New Roman"/>
        </w:rPr>
      </w:pPr>
    </w:p>
    <w:p w:rsidR="00B42B59" w:rsidRDefault="00B42B59" w:rsidP="00B42B59">
      <w:pPr>
        <w:autoSpaceDE w:val="0"/>
        <w:autoSpaceDN w:val="0"/>
        <w:adjustRightInd w:val="0"/>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Registruotojas eksportuojančioje valstybėje yra </w:t>
      </w:r>
      <w:r>
        <w:rPr>
          <w:rFonts w:ascii="Times New Roman" w:hAnsi="Times New Roman"/>
          <w:lang w:eastAsia="lt-LT"/>
        </w:rPr>
        <w:t>Orion Corporation, Orionintie 1, FI-02200 Espoo, Suomija</w:t>
      </w:r>
      <w:r>
        <w:rPr>
          <w:rFonts w:ascii="Times New Roman" w:eastAsia="Times New Roman" w:hAnsi="Times New Roman"/>
          <w:lang w:eastAsia="lt-LT"/>
        </w:rPr>
        <w:t>.</w:t>
      </w:r>
    </w:p>
    <w:p w:rsidR="00B42B59" w:rsidRDefault="00B42B59" w:rsidP="00B42B59">
      <w:pPr>
        <w:spacing w:after="0" w:line="240" w:lineRule="auto"/>
        <w:rPr>
          <w:rFonts w:ascii="Times New Roman" w:eastAsia="Times New Roman" w:hAnsi="Times New Roman"/>
          <w:lang w:eastAsia="lt-LT"/>
        </w:rPr>
      </w:pPr>
    </w:p>
    <w:p w:rsidR="00B42B59" w:rsidRDefault="00B42B59" w:rsidP="00B42B59">
      <w:pPr>
        <w:spacing w:after="0" w:line="240" w:lineRule="auto"/>
        <w:rPr>
          <w:rFonts w:ascii="Times New Roman" w:hAnsi="Times New Roman"/>
          <w:b/>
        </w:rPr>
      </w:pPr>
      <w:r>
        <w:rPr>
          <w:rFonts w:ascii="Times New Roman" w:hAnsi="Times New Roman"/>
          <w:b/>
        </w:rPr>
        <w:t>Šis pakuotės lapelis paskutinį kartą peržiūrėtas 2017-09-15.</w:t>
      </w:r>
    </w:p>
    <w:p w:rsidR="00B42B59" w:rsidRDefault="00B42B59" w:rsidP="00B42B59">
      <w:pPr>
        <w:tabs>
          <w:tab w:val="left" w:pos="567"/>
        </w:tabs>
        <w:spacing w:after="0" w:line="260" w:lineRule="exact"/>
        <w:rPr>
          <w:rFonts w:ascii="Times New Roman" w:hAnsi="Times New Roman"/>
        </w:rPr>
      </w:pPr>
    </w:p>
    <w:p w:rsidR="00B42B59" w:rsidRDefault="00B42B59" w:rsidP="00B42B59">
      <w:pPr>
        <w:tabs>
          <w:tab w:val="left" w:pos="567"/>
        </w:tabs>
        <w:spacing w:after="0" w:line="260" w:lineRule="exact"/>
        <w:rPr>
          <w:rFonts w:ascii="Times New Roman" w:hAnsi="Times New Roman"/>
          <w:color w:val="0000FF"/>
          <w:u w:val="single"/>
        </w:rPr>
      </w:pPr>
      <w:r>
        <w:rPr>
          <w:rFonts w:ascii="Times New Roman" w:hAnsi="Times New Roman"/>
        </w:rPr>
        <w:t>Išsami informacija apie šį vaistą pateikiama Valstybinės vaistų kontrolės tarnybos prie Lietuvos Respublikos sveikatos apsaugos ministerijos tinklalapyje</w:t>
      </w:r>
      <w:r>
        <w:rPr>
          <w:rFonts w:ascii="Times New Roman" w:hAnsi="Times New Roman"/>
          <w:i/>
        </w:rPr>
        <w:t xml:space="preserve"> </w:t>
      </w:r>
      <w:hyperlink r:id="rId9" w:history="1">
        <w:r>
          <w:rPr>
            <w:rStyle w:val="Hyperlink"/>
            <w:rFonts w:ascii="Times New Roman" w:hAnsi="Times New Roman"/>
            <w:color w:val="0000FF"/>
          </w:rPr>
          <w:t>http://www.vvkt.lt/</w:t>
        </w:r>
      </w:hyperlink>
    </w:p>
    <w:p w:rsidR="00B42B59" w:rsidRDefault="00B42B59" w:rsidP="00B42B59">
      <w:pPr>
        <w:tabs>
          <w:tab w:val="left" w:pos="567"/>
        </w:tabs>
        <w:spacing w:after="0" w:line="260" w:lineRule="exact"/>
        <w:rPr>
          <w:rFonts w:ascii="Times New Roman" w:hAnsi="Times New Roman"/>
        </w:rPr>
      </w:pPr>
    </w:p>
    <w:p w:rsidR="00B1615C" w:rsidRDefault="00B1615C"/>
    <w:sectPr w:rsidR="00B1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7FE1"/>
    <w:multiLevelType w:val="hybridMultilevel"/>
    <w:tmpl w:val="683C387E"/>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155D4620"/>
    <w:multiLevelType w:val="hybridMultilevel"/>
    <w:tmpl w:val="EE167DD0"/>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F85B95"/>
    <w:multiLevelType w:val="hybridMultilevel"/>
    <w:tmpl w:val="75523ED6"/>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7C89775D"/>
    <w:multiLevelType w:val="hybridMultilevel"/>
    <w:tmpl w:val="F4F4D6FC"/>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59"/>
    <w:rsid w:val="00B1615C"/>
    <w:rsid w:val="00B4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59"/>
    <w:pPr>
      <w:spacing w:after="160" w:line="25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B59"/>
    <w:rPr>
      <w:color w:val="0000FF" w:themeColor="hyperlink"/>
      <w:u w:val="single"/>
    </w:rPr>
  </w:style>
  <w:style w:type="paragraph" w:customStyle="1" w:styleId="BT-EMEASMCA">
    <w:name w:val="BT- EMEA_SMCA"/>
    <w:basedOn w:val="Normal"/>
    <w:autoRedefine/>
    <w:rsid w:val="00B42B59"/>
    <w:pPr>
      <w:numPr>
        <w:numId w:val="1"/>
      </w:numPr>
      <w:tabs>
        <w:tab w:val="num" w:pos="360"/>
      </w:tabs>
      <w:spacing w:after="0" w:line="240" w:lineRule="auto"/>
      <w:ind w:left="0" w:firstLine="0"/>
    </w:pPr>
    <w:rPr>
      <w:rFonts w:ascii="Times New Roman" w:eastAsia="Times New Roman" w:hAnsi="Times New Roman"/>
      <w:noProof/>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59"/>
    <w:pPr>
      <w:spacing w:after="160" w:line="25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B59"/>
    <w:rPr>
      <w:color w:val="0000FF" w:themeColor="hyperlink"/>
      <w:u w:val="single"/>
    </w:rPr>
  </w:style>
  <w:style w:type="paragraph" w:customStyle="1" w:styleId="BT-EMEASMCA">
    <w:name w:val="BT- EMEA_SMCA"/>
    <w:basedOn w:val="Normal"/>
    <w:autoRedefine/>
    <w:rsid w:val="00B42B59"/>
    <w:pPr>
      <w:numPr>
        <w:numId w:val="1"/>
      </w:numPr>
      <w:tabs>
        <w:tab w:val="num" w:pos="360"/>
      </w:tabs>
      <w:spacing w:after="0" w:line="240" w:lineRule="auto"/>
      <w:ind w:left="0" w:firstLine="0"/>
    </w:pPr>
    <w:rPr>
      <w:rFonts w:ascii="Times New Roman" w:eastAsia="Times New Roman" w:hAnsi="Times New Roman"/>
      <w:noProof/>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2018-07-24T11:57:00Z</dcterms:created>
  <dcterms:modified xsi:type="dcterms:W3CDTF">2018-07-24T11:57:00Z</dcterms:modified>
</cp:coreProperties>
</file>