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31" w:rsidRDefault="00EB0E31" w:rsidP="00EB0E31">
      <w:pPr>
        <w:spacing w:line="0" w:lineRule="atLeast"/>
        <w:ind w:right="-15"/>
        <w:jc w:val="center"/>
        <w:rPr>
          <w:rFonts w:ascii="Times New Roman" w:eastAsia="Times New Roman" w:hAnsi="Times New Roman"/>
          <w:b/>
          <w:sz w:val="22"/>
        </w:rPr>
      </w:pPr>
      <w:r>
        <w:rPr>
          <w:rFonts w:ascii="Times New Roman" w:eastAsia="Times New Roman" w:hAnsi="Times New Roman"/>
          <w:b/>
          <w:sz w:val="22"/>
        </w:rPr>
        <w:t>Pakuotės lapelis: informacija pacientui</w:t>
      </w:r>
    </w:p>
    <w:p w:rsidR="00EB0E31" w:rsidRDefault="00EB0E31" w:rsidP="00EB0E31">
      <w:pPr>
        <w:spacing w:line="200" w:lineRule="exact"/>
        <w:rPr>
          <w:rFonts w:ascii="Times New Roman" w:eastAsia="Times New Roman" w:hAnsi="Times New Roman"/>
        </w:rPr>
      </w:pPr>
    </w:p>
    <w:p w:rsidR="00EB0E31" w:rsidRDefault="00EB0E31" w:rsidP="00EB0E31">
      <w:pPr>
        <w:spacing w:line="308" w:lineRule="exact"/>
        <w:rPr>
          <w:rFonts w:ascii="Times New Roman" w:eastAsia="Times New Roman" w:hAnsi="Times New Roman"/>
        </w:rPr>
      </w:pPr>
    </w:p>
    <w:p w:rsidR="00EB0E31" w:rsidRDefault="00EB0E31" w:rsidP="00EB0E31">
      <w:pPr>
        <w:spacing w:line="0" w:lineRule="atLeast"/>
        <w:ind w:right="-15"/>
        <w:jc w:val="center"/>
        <w:rPr>
          <w:rFonts w:ascii="Times New Roman" w:eastAsia="Times New Roman" w:hAnsi="Times New Roman"/>
          <w:b/>
          <w:sz w:val="22"/>
        </w:rPr>
      </w:pPr>
      <w:r>
        <w:rPr>
          <w:rFonts w:ascii="Times New Roman" w:eastAsia="Times New Roman" w:hAnsi="Times New Roman"/>
          <w:b/>
          <w:sz w:val="22"/>
        </w:rPr>
        <w:t>Onglyza 5 mg plėvele dengtos tabletės</w:t>
      </w:r>
    </w:p>
    <w:p w:rsidR="00EB0E31" w:rsidRDefault="00EB0E31" w:rsidP="00EB0E31">
      <w:pPr>
        <w:spacing w:line="22" w:lineRule="exact"/>
        <w:rPr>
          <w:rFonts w:ascii="Times New Roman" w:eastAsia="Times New Roman" w:hAnsi="Times New Roman"/>
        </w:rPr>
      </w:pPr>
    </w:p>
    <w:p w:rsidR="00EB0E31" w:rsidRDefault="00EB0E31" w:rsidP="00EB0E31">
      <w:pPr>
        <w:spacing w:line="0" w:lineRule="atLeast"/>
        <w:ind w:right="-15"/>
        <w:jc w:val="center"/>
        <w:rPr>
          <w:rFonts w:ascii="Times New Roman" w:eastAsia="Times New Roman" w:hAnsi="Times New Roman"/>
          <w:sz w:val="22"/>
        </w:rPr>
      </w:pPr>
      <w:r>
        <w:rPr>
          <w:rFonts w:ascii="Times New Roman" w:eastAsia="Times New Roman" w:hAnsi="Times New Roman"/>
          <w:sz w:val="22"/>
        </w:rPr>
        <w:t>Saksagliptinas</w:t>
      </w:r>
    </w:p>
    <w:p w:rsidR="00EB0E31" w:rsidRDefault="00EB0E31" w:rsidP="00EB0E31">
      <w:pPr>
        <w:spacing w:line="230" w:lineRule="exact"/>
        <w:rPr>
          <w:rFonts w:ascii="Times New Roman" w:eastAsia="Times New Roman" w:hAnsi="Times New Roman"/>
        </w:rPr>
      </w:pPr>
    </w:p>
    <w:p w:rsidR="00EB0E31" w:rsidRDefault="00EB0E31" w:rsidP="00EB0E31">
      <w:pPr>
        <w:spacing w:line="249" w:lineRule="auto"/>
        <w:ind w:left="2" w:right="265"/>
        <w:rPr>
          <w:rFonts w:ascii="Times New Roman" w:eastAsia="Times New Roman" w:hAnsi="Times New Roman"/>
          <w:b/>
          <w:sz w:val="22"/>
        </w:rPr>
      </w:pPr>
      <w:proofErr w:type="gramStart"/>
      <w:r>
        <w:rPr>
          <w:rFonts w:ascii="Times New Roman" w:eastAsia="Times New Roman" w:hAnsi="Times New Roman"/>
          <w:b/>
          <w:sz w:val="22"/>
        </w:rPr>
        <w:t>Atidžiai perskaitykite visą šį lapelį, prieš pradėdami vartoti vaistą, nes jame pateikiama Jums svarbi informacija.</w:t>
      </w:r>
      <w:proofErr w:type="gramEnd"/>
    </w:p>
    <w:p w:rsidR="00EB0E31" w:rsidRDefault="00EB0E31" w:rsidP="00EB0E31">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rsidR="00EB0E31" w:rsidRDefault="00EB0E31" w:rsidP="00EB0E31">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kiltų daugiau klausimų, kreipkitės į gydytoją, vaistininką arba slaugytoją.</w:t>
      </w:r>
    </w:p>
    <w:p w:rsidR="00EB0E31" w:rsidRDefault="00EB0E31" w:rsidP="00EB0E31">
      <w:pPr>
        <w:spacing w:line="1" w:lineRule="exact"/>
        <w:rPr>
          <w:rFonts w:ascii="Times New Roman" w:eastAsia="Times New Roman" w:hAnsi="Times New Roman"/>
          <w:sz w:val="22"/>
        </w:rPr>
      </w:pPr>
    </w:p>
    <w:p w:rsidR="00EB0E31" w:rsidRDefault="00EB0E31" w:rsidP="00EB0E31">
      <w:pPr>
        <w:numPr>
          <w:ilvl w:val="0"/>
          <w:numId w:val="1"/>
        </w:numPr>
        <w:tabs>
          <w:tab w:val="left" w:pos="562"/>
        </w:tabs>
        <w:spacing w:line="237" w:lineRule="auto"/>
        <w:ind w:left="562" w:right="705" w:hanging="562"/>
        <w:rPr>
          <w:rFonts w:ascii="Times New Roman" w:eastAsia="Times New Roman" w:hAnsi="Times New Roman"/>
          <w:sz w:val="22"/>
        </w:rPr>
      </w:pPr>
      <w:r>
        <w:rPr>
          <w:rFonts w:ascii="Times New Roman" w:eastAsia="Times New Roman" w:hAnsi="Times New Roman"/>
          <w:sz w:val="22"/>
        </w:rPr>
        <w:t xml:space="preserve">Šis vaistas skirtas tik Jums, todėl kitiems žmonėms </w:t>
      </w:r>
      <w:proofErr w:type="gramStart"/>
      <w:r>
        <w:rPr>
          <w:rFonts w:ascii="Times New Roman" w:eastAsia="Times New Roman" w:hAnsi="Times New Roman"/>
          <w:sz w:val="22"/>
        </w:rPr>
        <w:t>jo</w:t>
      </w:r>
      <w:proofErr w:type="gramEnd"/>
      <w:r>
        <w:rPr>
          <w:rFonts w:ascii="Times New Roman" w:eastAsia="Times New Roman" w:hAnsi="Times New Roman"/>
          <w:sz w:val="22"/>
        </w:rPr>
        <w:t xml:space="preserve"> duoti negalima. Vaistas gali jiems pakenkti (net tiems, kurių ligos požymiai yra tokie patys kaip Jūsų).</w:t>
      </w:r>
    </w:p>
    <w:p w:rsidR="00EB0E31" w:rsidRDefault="00EB0E31" w:rsidP="00EB0E31">
      <w:pPr>
        <w:numPr>
          <w:ilvl w:val="0"/>
          <w:numId w:val="1"/>
        </w:numPr>
        <w:tabs>
          <w:tab w:val="left" w:pos="562"/>
        </w:tabs>
        <w:spacing w:line="249" w:lineRule="auto"/>
        <w:ind w:left="562" w:right="725" w:hanging="562"/>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vaistininką arba slaugytoją. Žr. 4 skyrių.</w:t>
      </w:r>
    </w:p>
    <w:p w:rsidR="00EB0E31" w:rsidRDefault="00EB0E31" w:rsidP="00EB0E31">
      <w:pPr>
        <w:spacing w:line="211"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proofErr w:type="gramStart"/>
      <w:r>
        <w:rPr>
          <w:rFonts w:ascii="Times New Roman" w:eastAsia="Times New Roman" w:hAnsi="Times New Roman"/>
          <w:b/>
          <w:sz w:val="22"/>
        </w:rPr>
        <w:t>Apie ką rašoma šiame lapelyje?</w:t>
      </w:r>
      <w:proofErr w:type="gramEnd"/>
    </w:p>
    <w:p w:rsidR="00EB0E31" w:rsidRDefault="00EB0E31" w:rsidP="00EB0E31">
      <w:pPr>
        <w:spacing w:line="21" w:lineRule="exact"/>
        <w:rPr>
          <w:rFonts w:ascii="Times New Roman" w:eastAsia="Times New Roman" w:hAnsi="Times New Roman"/>
        </w:rPr>
      </w:pPr>
    </w:p>
    <w:p w:rsidR="00EB0E31" w:rsidRDefault="00EB0E31" w:rsidP="00EB0E31">
      <w:pPr>
        <w:numPr>
          <w:ilvl w:val="0"/>
          <w:numId w:val="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Kas yra Onglyza ir kam jis vartojamas</w:t>
      </w:r>
    </w:p>
    <w:p w:rsidR="00EB0E31" w:rsidRDefault="00EB0E31" w:rsidP="00EB0E31">
      <w:pPr>
        <w:numPr>
          <w:ilvl w:val="0"/>
          <w:numId w:val="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Kas žinotina prieš vartoja</w:t>
      </w:r>
      <w:bookmarkStart w:id="0" w:name="_GoBack"/>
      <w:bookmarkEnd w:id="0"/>
      <w:r>
        <w:rPr>
          <w:rFonts w:ascii="Times New Roman" w:eastAsia="Times New Roman" w:hAnsi="Times New Roman"/>
          <w:sz w:val="22"/>
        </w:rPr>
        <w:t>nt Onglyza</w:t>
      </w:r>
    </w:p>
    <w:p w:rsidR="00EB0E31" w:rsidRDefault="00EB0E31" w:rsidP="00EB0E31">
      <w:pPr>
        <w:spacing w:line="1" w:lineRule="exact"/>
        <w:rPr>
          <w:rFonts w:ascii="Times New Roman" w:eastAsia="Times New Roman" w:hAnsi="Times New Roman"/>
          <w:sz w:val="22"/>
        </w:rPr>
      </w:pPr>
    </w:p>
    <w:p w:rsidR="00EB0E31" w:rsidRDefault="00EB0E31" w:rsidP="00EB0E31">
      <w:pPr>
        <w:numPr>
          <w:ilvl w:val="0"/>
          <w:numId w:val="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Kaip vartoti Onglyza</w:t>
      </w:r>
    </w:p>
    <w:p w:rsidR="00EB0E31" w:rsidRDefault="00EB0E31" w:rsidP="00EB0E31">
      <w:pPr>
        <w:numPr>
          <w:ilvl w:val="0"/>
          <w:numId w:val="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Galimas šalutinis poveikis</w:t>
      </w:r>
    </w:p>
    <w:p w:rsidR="00EB0E31" w:rsidRDefault="00EB0E31" w:rsidP="00EB0E31">
      <w:pPr>
        <w:spacing w:line="1" w:lineRule="exact"/>
        <w:rPr>
          <w:rFonts w:ascii="Times New Roman" w:eastAsia="Times New Roman" w:hAnsi="Times New Roman"/>
          <w:sz w:val="22"/>
        </w:rPr>
      </w:pPr>
    </w:p>
    <w:p w:rsidR="00EB0E31" w:rsidRDefault="00EB0E31" w:rsidP="00EB0E31">
      <w:pPr>
        <w:numPr>
          <w:ilvl w:val="0"/>
          <w:numId w:val="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Kaip laikyti Onglyza</w:t>
      </w:r>
    </w:p>
    <w:p w:rsidR="00EB0E31" w:rsidRDefault="00EB0E31" w:rsidP="00EB0E31">
      <w:pPr>
        <w:numPr>
          <w:ilvl w:val="0"/>
          <w:numId w:val="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Pakuotės turinys ir kita informacija</w:t>
      </w:r>
    </w:p>
    <w:p w:rsidR="00EB0E31" w:rsidRDefault="00EB0E31" w:rsidP="00EB0E31">
      <w:pPr>
        <w:spacing w:line="200" w:lineRule="exact"/>
        <w:rPr>
          <w:rFonts w:ascii="Times New Roman" w:eastAsia="Times New Roman" w:hAnsi="Times New Roman"/>
        </w:rPr>
      </w:pPr>
    </w:p>
    <w:p w:rsidR="00EB0E31" w:rsidRDefault="00EB0E31" w:rsidP="00EB0E31">
      <w:pPr>
        <w:spacing w:line="282" w:lineRule="exact"/>
        <w:rPr>
          <w:rFonts w:ascii="Times New Roman" w:eastAsia="Times New Roman" w:hAnsi="Times New Roman"/>
        </w:rPr>
      </w:pPr>
    </w:p>
    <w:p w:rsidR="00EB0E31" w:rsidRDefault="00EB0E31" w:rsidP="00EB0E31">
      <w:pPr>
        <w:numPr>
          <w:ilvl w:val="0"/>
          <w:numId w:val="3"/>
        </w:numPr>
        <w:tabs>
          <w:tab w:val="left" w:pos="542"/>
        </w:tabs>
        <w:spacing w:line="0" w:lineRule="atLeast"/>
        <w:ind w:left="542" w:hanging="542"/>
        <w:rPr>
          <w:rFonts w:ascii="Times New Roman" w:eastAsia="Times New Roman" w:hAnsi="Times New Roman"/>
          <w:b/>
          <w:sz w:val="22"/>
        </w:rPr>
      </w:pPr>
      <w:r>
        <w:rPr>
          <w:rFonts w:ascii="Times New Roman" w:eastAsia="Times New Roman" w:hAnsi="Times New Roman"/>
          <w:b/>
          <w:sz w:val="22"/>
        </w:rPr>
        <w:t>Kas yra Onglyza ir kam jis vartojamas</w:t>
      </w:r>
    </w:p>
    <w:p w:rsidR="00EB0E31" w:rsidRDefault="00EB0E31" w:rsidP="00EB0E31">
      <w:pPr>
        <w:spacing w:line="253" w:lineRule="exact"/>
        <w:rPr>
          <w:rFonts w:ascii="Times New Roman" w:eastAsia="Times New Roman" w:hAnsi="Times New Roman"/>
        </w:rPr>
      </w:pPr>
    </w:p>
    <w:p w:rsidR="00EB0E31" w:rsidRDefault="00EB0E31" w:rsidP="00EB0E31">
      <w:pPr>
        <w:spacing w:line="271" w:lineRule="auto"/>
        <w:ind w:left="2" w:right="705"/>
        <w:rPr>
          <w:rFonts w:ascii="Times New Roman" w:eastAsia="Times New Roman" w:hAnsi="Times New Roman"/>
          <w:sz w:val="22"/>
        </w:rPr>
      </w:pPr>
      <w:proofErr w:type="gramStart"/>
      <w:r>
        <w:rPr>
          <w:rFonts w:ascii="Times New Roman" w:eastAsia="Times New Roman" w:hAnsi="Times New Roman"/>
          <w:sz w:val="22"/>
        </w:rPr>
        <w:t>Onglyza sudėtyje yra veikliosios medžiagos saksagliptino, kuri priklauso geriamųjų vaistų nuo cukrinio diabeto grupei.</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Šie vaistai padeda reguliuoti cukraus kiekį kraujyje.</w:t>
      </w:r>
      <w:proofErr w:type="gramEnd"/>
    </w:p>
    <w:p w:rsidR="00EB0E31" w:rsidRDefault="00EB0E31" w:rsidP="00EB0E31">
      <w:pPr>
        <w:spacing w:line="183" w:lineRule="exact"/>
        <w:rPr>
          <w:rFonts w:ascii="Times New Roman" w:eastAsia="Times New Roman" w:hAnsi="Times New Roman"/>
        </w:rPr>
      </w:pPr>
    </w:p>
    <w:p w:rsidR="00EB0E31" w:rsidRDefault="00EB0E31" w:rsidP="00EB0E31">
      <w:pPr>
        <w:spacing w:line="254" w:lineRule="auto"/>
        <w:ind w:left="2" w:right="5"/>
        <w:rPr>
          <w:rFonts w:ascii="Times New Roman" w:eastAsia="Times New Roman" w:hAnsi="Times New Roman"/>
          <w:sz w:val="22"/>
        </w:rPr>
      </w:pPr>
      <w:proofErr w:type="gramStart"/>
      <w:r>
        <w:rPr>
          <w:rFonts w:ascii="Times New Roman" w:eastAsia="Times New Roman" w:hAnsi="Times New Roman"/>
          <w:sz w:val="22"/>
        </w:rPr>
        <w:t>Onglyza vartojama 18 metų ir vyresnių suaugusių pacientų II tipo cukriniam diabetui gydyti, kai vieno vaisto nuo cukrinio diabeto, dietos ir fizinio krūvio ligos eigai kontroliuoti nepakanka.</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Onglyza vartojama atskirai arba kartu su insulinu ar kitu geriamuoju vaistu nuo cukrinio diabeto.</w:t>
      </w:r>
      <w:proofErr w:type="gramEnd"/>
    </w:p>
    <w:p w:rsidR="00EB0E31" w:rsidRDefault="00EB0E31" w:rsidP="00EB0E31">
      <w:pPr>
        <w:spacing w:line="203"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 xml:space="preserve">Vartojant ši vaistą, svarbu toliau laikytis gydytojo ar slaugytojos patarimų </w:t>
      </w:r>
      <w:proofErr w:type="gramStart"/>
      <w:r>
        <w:rPr>
          <w:rFonts w:ascii="Times New Roman" w:eastAsia="Times New Roman" w:hAnsi="Times New Roman"/>
          <w:sz w:val="22"/>
        </w:rPr>
        <w:t>dėl</w:t>
      </w:r>
      <w:proofErr w:type="gramEnd"/>
      <w:r>
        <w:rPr>
          <w:rFonts w:ascii="Times New Roman" w:eastAsia="Times New Roman" w:hAnsi="Times New Roman"/>
          <w:sz w:val="22"/>
        </w:rPr>
        <w:t xml:space="preserve"> dietos ir fizinio krūvio.</w:t>
      </w:r>
    </w:p>
    <w:p w:rsidR="00EB0E31" w:rsidRDefault="00EB0E31" w:rsidP="00EB0E31">
      <w:pPr>
        <w:spacing w:line="200" w:lineRule="exact"/>
        <w:rPr>
          <w:rFonts w:ascii="Times New Roman" w:eastAsia="Times New Roman" w:hAnsi="Times New Roman"/>
        </w:rPr>
      </w:pPr>
    </w:p>
    <w:p w:rsidR="00EB0E31" w:rsidRDefault="00EB0E31" w:rsidP="00EB0E31">
      <w:pPr>
        <w:spacing w:line="306" w:lineRule="exact"/>
        <w:rPr>
          <w:rFonts w:ascii="Times New Roman" w:eastAsia="Times New Roman" w:hAnsi="Times New Roman"/>
        </w:rPr>
      </w:pPr>
    </w:p>
    <w:p w:rsidR="00EB0E31" w:rsidRDefault="00EB0E31" w:rsidP="00EB0E31">
      <w:pPr>
        <w:numPr>
          <w:ilvl w:val="0"/>
          <w:numId w:val="4"/>
        </w:numPr>
        <w:tabs>
          <w:tab w:val="left" w:pos="542"/>
        </w:tabs>
        <w:spacing w:line="0" w:lineRule="atLeast"/>
        <w:ind w:left="542" w:hanging="542"/>
        <w:rPr>
          <w:rFonts w:ascii="Times New Roman" w:eastAsia="Times New Roman" w:hAnsi="Times New Roman"/>
          <w:b/>
          <w:sz w:val="22"/>
        </w:rPr>
      </w:pPr>
      <w:r>
        <w:rPr>
          <w:rFonts w:ascii="Times New Roman" w:eastAsia="Times New Roman" w:hAnsi="Times New Roman"/>
          <w:b/>
          <w:sz w:val="22"/>
        </w:rPr>
        <w:t>Kas žinotina prieš vartojant Onglyza</w:t>
      </w:r>
    </w:p>
    <w:p w:rsidR="00EB0E31" w:rsidRDefault="00EB0E31" w:rsidP="00EB0E31">
      <w:pPr>
        <w:spacing w:line="253"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Onglyza vartoti negalima:</w:t>
      </w:r>
    </w:p>
    <w:p w:rsidR="00EB0E31" w:rsidRDefault="00EB0E31" w:rsidP="00EB0E31">
      <w:pPr>
        <w:spacing w:line="22" w:lineRule="exact"/>
        <w:rPr>
          <w:rFonts w:ascii="Times New Roman" w:eastAsia="Times New Roman" w:hAnsi="Times New Roman"/>
        </w:rPr>
      </w:pPr>
    </w:p>
    <w:p w:rsidR="00EB0E31" w:rsidRDefault="00EB0E31" w:rsidP="00EB0E31">
      <w:pPr>
        <w:numPr>
          <w:ilvl w:val="0"/>
          <w:numId w:val="5"/>
        </w:numPr>
        <w:tabs>
          <w:tab w:val="left" w:pos="562"/>
        </w:tabs>
        <w:spacing w:line="0" w:lineRule="atLeast"/>
        <w:ind w:left="562" w:right="205" w:hanging="562"/>
        <w:rPr>
          <w:rFonts w:ascii="Times New Roman" w:eastAsia="Times New Roman" w:hAnsi="Times New Roman"/>
          <w:sz w:val="22"/>
        </w:rPr>
      </w:pPr>
      <w:r>
        <w:rPr>
          <w:rFonts w:ascii="Times New Roman" w:eastAsia="Times New Roman" w:hAnsi="Times New Roman"/>
          <w:sz w:val="22"/>
        </w:rPr>
        <w:t>jeigu yra alergija saksagliptinui arba bet kuriai pagalbinei šio vaisto medžiagai (jos išvardytos 6 skyriuje);</w:t>
      </w:r>
    </w:p>
    <w:p w:rsidR="00EB0E31" w:rsidRDefault="00EB0E31" w:rsidP="00EB0E31">
      <w:pPr>
        <w:numPr>
          <w:ilvl w:val="0"/>
          <w:numId w:val="5"/>
        </w:numPr>
        <w:tabs>
          <w:tab w:val="left" w:pos="562"/>
        </w:tabs>
        <w:spacing w:line="249" w:lineRule="auto"/>
        <w:ind w:left="562" w:right="385" w:hanging="562"/>
        <w:rPr>
          <w:rFonts w:ascii="Times New Roman" w:eastAsia="Times New Roman" w:hAnsi="Times New Roman"/>
          <w:sz w:val="22"/>
        </w:rPr>
      </w:pPr>
      <w:proofErr w:type="gramStart"/>
      <w:r>
        <w:rPr>
          <w:rFonts w:ascii="Times New Roman" w:eastAsia="Times New Roman" w:hAnsi="Times New Roman"/>
          <w:sz w:val="22"/>
        </w:rPr>
        <w:t>jeigu</w:t>
      </w:r>
      <w:proofErr w:type="gramEnd"/>
      <w:r>
        <w:rPr>
          <w:rFonts w:ascii="Times New Roman" w:eastAsia="Times New Roman" w:hAnsi="Times New Roman"/>
          <w:sz w:val="22"/>
        </w:rPr>
        <w:t xml:space="preserve"> kuris nors kitas panašiai veikiantis vaistas cukraus kiekiui kraujyje reguliuoti anksčiau buvo sukėlęs sunkią alerginę (reakciją (žr. 4 skyrių).</w:t>
      </w:r>
    </w:p>
    <w:p w:rsidR="00EB0E31" w:rsidRDefault="00EB0E31" w:rsidP="00EB0E31">
      <w:pPr>
        <w:spacing w:line="208"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Įspėjimai ir atsargumo priemonės</w:t>
      </w:r>
    </w:p>
    <w:p w:rsidR="00EB0E31" w:rsidRDefault="00EB0E31" w:rsidP="00EB0E31">
      <w:pPr>
        <w:spacing w:line="13"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Prieš pradėdami vartoti Onglyza, papildomai priminkite gydytojui arba vaistininkui:</w:t>
      </w:r>
    </w:p>
    <w:p w:rsidR="00EB0E31" w:rsidRDefault="00EB0E31" w:rsidP="00EB0E31">
      <w:pPr>
        <w:spacing w:line="1" w:lineRule="exact"/>
        <w:rPr>
          <w:rFonts w:ascii="Times New Roman" w:eastAsia="Times New Roman" w:hAnsi="Times New Roman"/>
        </w:rPr>
      </w:pPr>
    </w:p>
    <w:p w:rsidR="00EB0E31" w:rsidRDefault="00EB0E31" w:rsidP="00EB0E31">
      <w:pPr>
        <w:numPr>
          <w:ilvl w:val="0"/>
          <w:numId w:val="6"/>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jeigu Jūs vartojate insulino (Onglyza negalima vartoti vietoj insulino);</w:t>
      </w:r>
    </w:p>
    <w:p w:rsidR="00EB0E31" w:rsidRDefault="00EB0E31" w:rsidP="00EB0E31">
      <w:pPr>
        <w:spacing w:line="17" w:lineRule="exact"/>
        <w:rPr>
          <w:rFonts w:ascii="Symbol" w:eastAsia="Symbol" w:hAnsi="Symbol"/>
          <w:sz w:val="22"/>
        </w:rPr>
      </w:pPr>
    </w:p>
    <w:p w:rsidR="00EB0E31" w:rsidRDefault="00EB0E31" w:rsidP="00EB0E31">
      <w:pPr>
        <w:numPr>
          <w:ilvl w:val="0"/>
          <w:numId w:val="6"/>
        </w:numPr>
        <w:tabs>
          <w:tab w:val="left" w:pos="562"/>
        </w:tabs>
        <w:spacing w:line="0" w:lineRule="atLeast"/>
        <w:ind w:left="562" w:right="145" w:hanging="562"/>
        <w:rPr>
          <w:rFonts w:ascii="Symbol" w:eastAsia="Symbol" w:hAnsi="Symbol"/>
          <w:sz w:val="22"/>
        </w:rPr>
      </w:pPr>
      <w:proofErr w:type="gramStart"/>
      <w:r>
        <w:rPr>
          <w:rFonts w:ascii="Times New Roman" w:eastAsia="Times New Roman" w:hAnsi="Times New Roman"/>
          <w:sz w:val="22"/>
        </w:rPr>
        <w:t>jeigu</w:t>
      </w:r>
      <w:proofErr w:type="gramEnd"/>
      <w:r>
        <w:rPr>
          <w:rFonts w:ascii="Times New Roman" w:eastAsia="Times New Roman" w:hAnsi="Times New Roman"/>
          <w:sz w:val="22"/>
        </w:rPr>
        <w:t xml:space="preserve"> Jūs sergate I tipo cukriniu diabetu (organizmas visai negamina insulino) arba diabetine ketoacidoze (diabeto komplikacija, kuriai ištikus labai padidėja cukraus kiekis kraujyje, greitai netenkama svorio, būna pykinimas ir vėmimas). Šioms būklėms gydyti Onglyza vartoti negalima;</w:t>
      </w:r>
    </w:p>
    <w:p w:rsidR="00EB0E31" w:rsidRDefault="00EB0E31" w:rsidP="00EB0E31">
      <w:pPr>
        <w:spacing w:line="1" w:lineRule="exact"/>
        <w:rPr>
          <w:rFonts w:ascii="Symbol" w:eastAsia="Symbol" w:hAnsi="Symbol"/>
          <w:sz w:val="22"/>
        </w:rPr>
      </w:pPr>
    </w:p>
    <w:p w:rsidR="00EB0E31" w:rsidRDefault="00EB0E31" w:rsidP="00EB0E31">
      <w:pPr>
        <w:numPr>
          <w:ilvl w:val="0"/>
          <w:numId w:val="6"/>
        </w:numPr>
        <w:tabs>
          <w:tab w:val="left" w:pos="562"/>
        </w:tabs>
        <w:spacing w:line="235" w:lineRule="auto"/>
        <w:ind w:left="562" w:hanging="562"/>
        <w:rPr>
          <w:rFonts w:ascii="Symbol" w:eastAsia="Symbol" w:hAnsi="Symbol"/>
          <w:sz w:val="22"/>
        </w:rPr>
      </w:pPr>
      <w:r>
        <w:rPr>
          <w:rFonts w:ascii="Times New Roman" w:eastAsia="Times New Roman" w:hAnsi="Times New Roman"/>
          <w:sz w:val="22"/>
        </w:rPr>
        <w:t>jeigu Jūs dabar sergate arba anksčiau sirgote kasos liga;</w:t>
      </w:r>
    </w:p>
    <w:p w:rsidR="00EB0E31" w:rsidRDefault="00EB0E31" w:rsidP="00EB0E31">
      <w:pPr>
        <w:numPr>
          <w:ilvl w:val="0"/>
          <w:numId w:val="6"/>
        </w:numPr>
        <w:tabs>
          <w:tab w:val="left" w:pos="562"/>
        </w:tabs>
        <w:spacing w:line="0" w:lineRule="atLeast"/>
        <w:ind w:left="562" w:right="25" w:hanging="562"/>
        <w:rPr>
          <w:rFonts w:ascii="Symbol" w:eastAsia="Symbol" w:hAnsi="Symbol"/>
          <w:sz w:val="22"/>
        </w:rPr>
      </w:pPr>
      <w:r>
        <w:rPr>
          <w:rFonts w:ascii="Times New Roman" w:eastAsia="Times New Roman" w:hAnsi="Times New Roman"/>
          <w:sz w:val="22"/>
        </w:rPr>
        <w:t>jeigu Jūs vartojate insuliną arba vaistą nuo cukrinio diabeto, vadinamą sulfonilkarbamidu (kartu vartojant Onglyza, gydytojas gali sumažinti insulino arba sulfonilkarbamido dozę, jeigu vartojate kurį nors iš jų, kad cukraus koncentracija kraujyje nesumažėtų per daug);</w:t>
      </w:r>
    </w:p>
    <w:p w:rsidR="00EB0E31" w:rsidRDefault="00EB0E31" w:rsidP="00EB0E31">
      <w:pPr>
        <w:spacing w:line="2" w:lineRule="exact"/>
        <w:rPr>
          <w:rFonts w:ascii="Symbol" w:eastAsia="Symbol" w:hAnsi="Symbol"/>
          <w:sz w:val="22"/>
        </w:rPr>
      </w:pPr>
    </w:p>
    <w:p w:rsidR="00EB0E31" w:rsidRDefault="00EB0E31" w:rsidP="00EB0E31">
      <w:pPr>
        <w:numPr>
          <w:ilvl w:val="0"/>
          <w:numId w:val="6"/>
        </w:numPr>
        <w:tabs>
          <w:tab w:val="left" w:pos="562"/>
        </w:tabs>
        <w:spacing w:line="237" w:lineRule="auto"/>
        <w:ind w:left="562" w:right="405" w:hanging="562"/>
        <w:rPr>
          <w:rFonts w:ascii="Symbol" w:eastAsia="Symbol" w:hAnsi="Symbol"/>
          <w:sz w:val="22"/>
        </w:rPr>
      </w:pPr>
      <w:r>
        <w:rPr>
          <w:rFonts w:ascii="Times New Roman" w:eastAsia="Times New Roman" w:hAnsi="Times New Roman"/>
          <w:sz w:val="22"/>
        </w:rPr>
        <w:t>jeigu Jūs sergate liga, dėl kurios sumažėja organizmo atsparumas infekcinėms ligoms (pvz., AIDS), arba vartojate atsparumą joms mažinantį vaistą (pvz., persodinus organą);</w:t>
      </w:r>
    </w:p>
    <w:p w:rsidR="00EB0E31" w:rsidRDefault="00EB0E31" w:rsidP="00EB0E31">
      <w:pPr>
        <w:spacing w:line="237" w:lineRule="auto"/>
        <w:rPr>
          <w:rFonts w:ascii="Symbol" w:eastAsia="Symbol" w:hAnsi="Symbol"/>
          <w:sz w:val="22"/>
        </w:rPr>
        <w:sectPr w:rsidR="00EB0E31">
          <w:pgSz w:w="11900" w:h="16838"/>
          <w:pgMar w:top="1113" w:right="1440" w:bottom="211" w:left="1418" w:header="0" w:footer="0" w:gutter="0"/>
          <w:cols w:space="720"/>
        </w:sectPr>
      </w:pPr>
    </w:p>
    <w:p w:rsidR="00EB0E31" w:rsidRDefault="00EB0E31" w:rsidP="00EB0E31">
      <w:pPr>
        <w:spacing w:line="186" w:lineRule="exact"/>
        <w:rPr>
          <w:rFonts w:ascii="Times New Roman" w:eastAsia="Times New Roman" w:hAnsi="Times New Roman"/>
        </w:rPr>
      </w:pPr>
    </w:p>
    <w:p w:rsidR="00EB0E31" w:rsidRDefault="00EB0E31" w:rsidP="00EB0E31">
      <w:pPr>
        <w:spacing w:line="0" w:lineRule="atLeast"/>
        <w:ind w:right="-35"/>
        <w:jc w:val="center"/>
        <w:rPr>
          <w:rFonts w:ascii="Times New Roman" w:eastAsia="Times New Roman" w:hAnsi="Times New Roman"/>
        </w:rPr>
      </w:pPr>
      <w:r>
        <w:rPr>
          <w:rFonts w:ascii="Times New Roman" w:eastAsia="Times New Roman" w:hAnsi="Times New Roman"/>
        </w:rPr>
        <w:t>56</w:t>
      </w:r>
    </w:p>
    <w:p w:rsidR="00EB0E31" w:rsidRDefault="00EB0E31" w:rsidP="00EB0E31">
      <w:pPr>
        <w:rPr>
          <w:rFonts w:ascii="Times New Roman" w:eastAsia="Times New Roman" w:hAnsi="Times New Roman"/>
        </w:rPr>
        <w:sectPr w:rsidR="00EB0E31">
          <w:type w:val="continuous"/>
          <w:pgSz w:w="11900" w:h="16838"/>
          <w:pgMar w:top="1113" w:right="1440" w:bottom="211" w:left="1418" w:header="0" w:footer="0" w:gutter="0"/>
          <w:cols w:space="720"/>
        </w:sectPr>
      </w:pPr>
    </w:p>
    <w:p w:rsidR="00EB0E31" w:rsidRDefault="00EB0E31" w:rsidP="00EB0E31">
      <w:pPr>
        <w:numPr>
          <w:ilvl w:val="0"/>
          <w:numId w:val="7"/>
        </w:numPr>
        <w:tabs>
          <w:tab w:val="left" w:pos="562"/>
        </w:tabs>
        <w:spacing w:line="242" w:lineRule="auto"/>
        <w:ind w:left="562" w:right="425" w:hanging="562"/>
        <w:rPr>
          <w:rFonts w:ascii="Symbol" w:eastAsia="Symbol" w:hAnsi="Symbol"/>
          <w:sz w:val="22"/>
        </w:rPr>
      </w:pPr>
      <w:bookmarkStart w:id="1" w:name="page57"/>
      <w:bookmarkEnd w:id="1"/>
      <w:proofErr w:type="gramStart"/>
      <w:r>
        <w:rPr>
          <w:rFonts w:ascii="Times New Roman" w:eastAsia="Times New Roman" w:hAnsi="Times New Roman"/>
          <w:sz w:val="22"/>
        </w:rPr>
        <w:lastRenderedPageBreak/>
        <w:t>jeigu</w:t>
      </w:r>
      <w:proofErr w:type="gramEnd"/>
      <w:r>
        <w:rPr>
          <w:rFonts w:ascii="Times New Roman" w:eastAsia="Times New Roman" w:hAnsi="Times New Roman"/>
          <w:sz w:val="22"/>
        </w:rPr>
        <w:t xml:space="preserve"> Jūs sergate širdies nepakankamumu arba yra jo rizikos faktorių, pvz., sutrikusi inkstų funkcija. Kokie yra širdies nepakankamumo požymiai ir simptomai, pasakys gydytojas. Pasireiškus kuriam nors iš jų, nedelsdami kreipkitės į gydytoją, vaistininką arba slaugytoją. Galimi širdies nepakankamumo simptomai yra sustiprėjęs dusulys, greitas svorio prieaugis, pėdų patinimas (edema) ir kt.;</w:t>
      </w:r>
    </w:p>
    <w:p w:rsidR="00EB0E31" w:rsidRDefault="00EB0E31" w:rsidP="00EB0E31">
      <w:pPr>
        <w:spacing w:line="4" w:lineRule="exact"/>
        <w:rPr>
          <w:rFonts w:ascii="Symbol" w:eastAsia="Symbol" w:hAnsi="Symbol"/>
          <w:sz w:val="22"/>
        </w:rPr>
      </w:pPr>
    </w:p>
    <w:p w:rsidR="00EB0E31" w:rsidRDefault="00EB0E31" w:rsidP="00EB0E31">
      <w:pPr>
        <w:numPr>
          <w:ilvl w:val="0"/>
          <w:numId w:val="7"/>
        </w:numPr>
        <w:tabs>
          <w:tab w:val="left" w:pos="562"/>
        </w:tabs>
        <w:spacing w:line="237" w:lineRule="auto"/>
        <w:ind w:left="562" w:right="745" w:hanging="562"/>
        <w:rPr>
          <w:rFonts w:ascii="Symbol" w:eastAsia="Symbol" w:hAnsi="Symbol"/>
          <w:sz w:val="22"/>
        </w:rPr>
      </w:pPr>
      <w:proofErr w:type="gramStart"/>
      <w:r>
        <w:rPr>
          <w:rFonts w:ascii="Times New Roman" w:eastAsia="Times New Roman" w:hAnsi="Times New Roman"/>
          <w:sz w:val="22"/>
        </w:rPr>
        <w:t>jeigu</w:t>
      </w:r>
      <w:proofErr w:type="gramEnd"/>
      <w:r>
        <w:rPr>
          <w:rFonts w:ascii="Times New Roman" w:eastAsia="Times New Roman" w:hAnsi="Times New Roman"/>
          <w:sz w:val="22"/>
        </w:rPr>
        <w:t xml:space="preserve"> vidutiniškai arba sunkiai sutrikusi Jūsų inkstų funkcija (tuomet Jums reikės vartoti mažesnę Onglyza dozę). Jeigu Jums atliekamos hemodializės, tai Onglyza vartoti nerekomenduojama;</w:t>
      </w:r>
    </w:p>
    <w:p w:rsidR="00EB0E31" w:rsidRDefault="00EB0E31" w:rsidP="00EB0E31">
      <w:pPr>
        <w:spacing w:line="2" w:lineRule="exact"/>
        <w:rPr>
          <w:rFonts w:ascii="Symbol" w:eastAsia="Symbol" w:hAnsi="Symbol"/>
          <w:sz w:val="22"/>
        </w:rPr>
      </w:pPr>
    </w:p>
    <w:p w:rsidR="00EB0E31" w:rsidRDefault="00EB0E31" w:rsidP="00EB0E31">
      <w:pPr>
        <w:numPr>
          <w:ilvl w:val="0"/>
          <w:numId w:val="7"/>
        </w:numPr>
        <w:tabs>
          <w:tab w:val="left" w:pos="562"/>
        </w:tabs>
        <w:spacing w:line="237" w:lineRule="auto"/>
        <w:ind w:left="562" w:right="145" w:hanging="562"/>
        <w:rPr>
          <w:rFonts w:ascii="Symbol" w:eastAsia="Symbol" w:hAnsi="Symbol"/>
          <w:sz w:val="22"/>
        </w:rPr>
      </w:pPr>
      <w:proofErr w:type="gramStart"/>
      <w:r>
        <w:rPr>
          <w:rFonts w:ascii="Times New Roman" w:eastAsia="Times New Roman" w:hAnsi="Times New Roman"/>
          <w:sz w:val="22"/>
        </w:rPr>
        <w:t>jeigu</w:t>
      </w:r>
      <w:proofErr w:type="gramEnd"/>
      <w:r>
        <w:rPr>
          <w:rFonts w:ascii="Times New Roman" w:eastAsia="Times New Roman" w:hAnsi="Times New Roman"/>
          <w:sz w:val="22"/>
        </w:rPr>
        <w:t xml:space="preserve"> vidutiniškai arba sunkiai sutrikusi Jūsų kepenų funkcija (jeigu kepenų sutrikimas sunkus, Jums Onglyza vartoti nerekomenduojama).</w:t>
      </w:r>
    </w:p>
    <w:p w:rsidR="00EB0E31" w:rsidRDefault="00EB0E31" w:rsidP="00EB0E31">
      <w:pPr>
        <w:spacing w:line="220" w:lineRule="exact"/>
        <w:rPr>
          <w:rFonts w:ascii="Times New Roman" w:eastAsia="Times New Roman" w:hAnsi="Times New Roman"/>
        </w:rPr>
      </w:pPr>
    </w:p>
    <w:p w:rsidR="00EB0E31" w:rsidRDefault="00EB0E31" w:rsidP="00EB0E31">
      <w:pPr>
        <w:spacing w:line="249" w:lineRule="auto"/>
        <w:ind w:left="2" w:right="465"/>
        <w:rPr>
          <w:rFonts w:ascii="Times New Roman" w:eastAsia="Times New Roman" w:hAnsi="Times New Roman"/>
          <w:sz w:val="22"/>
        </w:rPr>
      </w:pPr>
      <w:proofErr w:type="gramStart"/>
      <w:r>
        <w:rPr>
          <w:rFonts w:ascii="Times New Roman" w:eastAsia="Times New Roman" w:hAnsi="Times New Roman"/>
          <w:sz w:val="22"/>
        </w:rPr>
        <w:t>Dažna cukrinio diabeto komplikacija yra diabetiniai odos pažeidimai.</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Gauta pranešimų apie odos bėrimą, pasireiškusį vartojant Onglyza (žr. 4 skyrių) ir tam tikrus tos pačios kaip Onglyza grupės vaistus nuo cukrinio diabeto.</w:t>
      </w:r>
      <w:proofErr w:type="gramEnd"/>
      <w:r>
        <w:rPr>
          <w:rFonts w:ascii="Times New Roman" w:eastAsia="Times New Roman" w:hAnsi="Times New Roman"/>
          <w:sz w:val="22"/>
        </w:rPr>
        <w:t xml:space="preserve"> Vartojant šį vaistą, patartina laikytis gydytojo ar slaugytojos rekomendacijų </w:t>
      </w:r>
      <w:proofErr w:type="gramStart"/>
      <w:r>
        <w:rPr>
          <w:rFonts w:ascii="Times New Roman" w:eastAsia="Times New Roman" w:hAnsi="Times New Roman"/>
          <w:sz w:val="22"/>
        </w:rPr>
        <w:t>dėl</w:t>
      </w:r>
      <w:proofErr w:type="gramEnd"/>
      <w:r>
        <w:rPr>
          <w:rFonts w:ascii="Times New Roman" w:eastAsia="Times New Roman" w:hAnsi="Times New Roman"/>
          <w:sz w:val="22"/>
        </w:rPr>
        <w:t xml:space="preserve"> odos ir pėdų priežiūros.</w:t>
      </w:r>
    </w:p>
    <w:p w:rsidR="00EB0E31" w:rsidRDefault="00EB0E31" w:rsidP="00EB0E31">
      <w:pPr>
        <w:spacing w:line="212"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Vaikams ir paaugliams</w:t>
      </w:r>
    </w:p>
    <w:p w:rsidR="00EB0E31" w:rsidRDefault="00EB0E31" w:rsidP="00EB0E31">
      <w:pPr>
        <w:spacing w:line="22" w:lineRule="exact"/>
        <w:rPr>
          <w:rFonts w:ascii="Times New Roman" w:eastAsia="Times New Roman" w:hAnsi="Times New Roman"/>
        </w:rPr>
      </w:pPr>
    </w:p>
    <w:p w:rsidR="00EB0E31" w:rsidRDefault="00EB0E31" w:rsidP="00EB0E31">
      <w:pPr>
        <w:spacing w:line="249" w:lineRule="auto"/>
        <w:ind w:left="2" w:right="265"/>
        <w:rPr>
          <w:rFonts w:ascii="Times New Roman" w:eastAsia="Times New Roman" w:hAnsi="Times New Roman"/>
          <w:sz w:val="22"/>
        </w:rPr>
      </w:pPr>
      <w:proofErr w:type="gramStart"/>
      <w:r>
        <w:rPr>
          <w:rFonts w:ascii="Times New Roman" w:eastAsia="Times New Roman" w:hAnsi="Times New Roman"/>
          <w:sz w:val="22"/>
        </w:rPr>
        <w:t>Vaikams ir paaugliams iki 18 metų Onglyza vartoti nerekomenduojama.</w:t>
      </w:r>
      <w:proofErr w:type="gramEnd"/>
      <w:r>
        <w:rPr>
          <w:rFonts w:ascii="Times New Roman" w:eastAsia="Times New Roman" w:hAnsi="Times New Roman"/>
          <w:sz w:val="22"/>
        </w:rPr>
        <w:t xml:space="preserve"> Nėra žinoma, ar šis vaistas jiems yra </w:t>
      </w:r>
      <w:proofErr w:type="gramStart"/>
      <w:r>
        <w:rPr>
          <w:rFonts w:ascii="Times New Roman" w:eastAsia="Times New Roman" w:hAnsi="Times New Roman"/>
          <w:sz w:val="22"/>
        </w:rPr>
        <w:t>saugus</w:t>
      </w:r>
      <w:proofErr w:type="gramEnd"/>
      <w:r>
        <w:rPr>
          <w:rFonts w:ascii="Times New Roman" w:eastAsia="Times New Roman" w:hAnsi="Times New Roman"/>
          <w:sz w:val="22"/>
        </w:rPr>
        <w:t xml:space="preserve"> ir veiksmingas.</w:t>
      </w:r>
    </w:p>
    <w:p w:rsidR="00EB0E31" w:rsidRDefault="00EB0E31" w:rsidP="00EB0E31">
      <w:pPr>
        <w:spacing w:line="208"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Kiti vaistai ir Onglyza</w:t>
      </w:r>
    </w:p>
    <w:p w:rsidR="00EB0E31" w:rsidRDefault="00EB0E31" w:rsidP="00EB0E31">
      <w:pPr>
        <w:spacing w:line="25" w:lineRule="exact"/>
        <w:rPr>
          <w:rFonts w:ascii="Times New Roman" w:eastAsia="Times New Roman" w:hAnsi="Times New Roman"/>
        </w:rPr>
      </w:pPr>
    </w:p>
    <w:p w:rsidR="00EB0E31" w:rsidRDefault="00EB0E31" w:rsidP="00EB0E31">
      <w:pPr>
        <w:spacing w:line="247" w:lineRule="auto"/>
        <w:ind w:left="2" w:right="285"/>
        <w:rPr>
          <w:rFonts w:ascii="Times New Roman" w:eastAsia="Times New Roman" w:hAnsi="Times New Roman"/>
          <w:sz w:val="22"/>
        </w:rPr>
      </w:pPr>
      <w:r>
        <w:rPr>
          <w:rFonts w:ascii="Times New Roman" w:eastAsia="Times New Roman" w:hAnsi="Times New Roman"/>
          <w:sz w:val="22"/>
        </w:rPr>
        <w:t xml:space="preserve">Jeigu vartojate ar neseniai vartojote kitų vaistų arba </w:t>
      </w:r>
      <w:proofErr w:type="gramStart"/>
      <w:r>
        <w:rPr>
          <w:rFonts w:ascii="Times New Roman" w:eastAsia="Times New Roman" w:hAnsi="Times New Roman"/>
          <w:sz w:val="22"/>
        </w:rPr>
        <w:t>dėl</w:t>
      </w:r>
      <w:proofErr w:type="gramEnd"/>
      <w:r>
        <w:rPr>
          <w:rFonts w:ascii="Times New Roman" w:eastAsia="Times New Roman" w:hAnsi="Times New Roman"/>
          <w:sz w:val="22"/>
        </w:rPr>
        <w:t xml:space="preserve"> to nesate tikri, apie tai pasakykite gydytojui arba vaistininkui.</w:t>
      </w:r>
    </w:p>
    <w:p w:rsidR="00EB0E31" w:rsidRDefault="00EB0E31" w:rsidP="00EB0E31">
      <w:pPr>
        <w:spacing w:line="212"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Gydytojui pasakyti ypač svarbu, jeigu vartojate kurio nors iš šių vaistų:</w:t>
      </w:r>
    </w:p>
    <w:p w:rsidR="00EB0E31" w:rsidRDefault="00EB0E31" w:rsidP="00EB0E31">
      <w:pPr>
        <w:spacing w:line="13" w:lineRule="exact"/>
        <w:rPr>
          <w:rFonts w:ascii="Times New Roman" w:eastAsia="Times New Roman" w:hAnsi="Times New Roman"/>
        </w:rPr>
      </w:pPr>
    </w:p>
    <w:p w:rsidR="00EB0E31" w:rsidRDefault="00EB0E31" w:rsidP="00EB0E31">
      <w:pPr>
        <w:numPr>
          <w:ilvl w:val="0"/>
          <w:numId w:val="8"/>
        </w:numPr>
        <w:tabs>
          <w:tab w:val="left" w:pos="562"/>
        </w:tabs>
        <w:spacing w:line="247" w:lineRule="auto"/>
        <w:ind w:left="562" w:right="185" w:hanging="562"/>
        <w:rPr>
          <w:rFonts w:ascii="Symbol" w:eastAsia="Symbol" w:hAnsi="Symbol"/>
          <w:sz w:val="22"/>
        </w:rPr>
      </w:pPr>
      <w:r>
        <w:rPr>
          <w:rFonts w:ascii="Times New Roman" w:eastAsia="Times New Roman" w:hAnsi="Times New Roman"/>
          <w:sz w:val="22"/>
        </w:rPr>
        <w:t>karbamazepino, fenobarbitalio arba fenitoino, kurie gali būti vartojami nuo traukulių ar lėtinio skausmo;</w:t>
      </w:r>
    </w:p>
    <w:p w:rsidR="00EB0E31" w:rsidRDefault="00EB0E31" w:rsidP="00EB0E31">
      <w:pPr>
        <w:spacing w:line="1" w:lineRule="exact"/>
        <w:rPr>
          <w:rFonts w:ascii="Symbol" w:eastAsia="Symbol" w:hAnsi="Symbol"/>
          <w:sz w:val="22"/>
        </w:rPr>
      </w:pPr>
    </w:p>
    <w:p w:rsidR="00EB0E31" w:rsidRDefault="00EB0E31" w:rsidP="00EB0E31">
      <w:pPr>
        <w:numPr>
          <w:ilvl w:val="0"/>
          <w:numId w:val="8"/>
        </w:numPr>
        <w:tabs>
          <w:tab w:val="left" w:pos="562"/>
        </w:tabs>
        <w:spacing w:line="0" w:lineRule="atLeast"/>
        <w:ind w:left="562" w:right="565" w:hanging="562"/>
        <w:rPr>
          <w:rFonts w:ascii="Symbol" w:eastAsia="Symbol" w:hAnsi="Symbol"/>
          <w:sz w:val="22"/>
        </w:rPr>
      </w:pPr>
      <w:r>
        <w:rPr>
          <w:rFonts w:ascii="Times New Roman" w:eastAsia="Times New Roman" w:hAnsi="Times New Roman"/>
          <w:sz w:val="22"/>
        </w:rPr>
        <w:t>deksametazono (steroidinio vaisto), kuris gali būti vartojamas įvairių kūno dalių ir organų uždegimui gydyti;</w:t>
      </w:r>
    </w:p>
    <w:p w:rsidR="00EB0E31" w:rsidRDefault="00EB0E31" w:rsidP="00EB0E31">
      <w:pPr>
        <w:numPr>
          <w:ilvl w:val="0"/>
          <w:numId w:val="8"/>
        </w:numPr>
        <w:tabs>
          <w:tab w:val="left" w:pos="562"/>
        </w:tabs>
        <w:spacing w:line="237" w:lineRule="auto"/>
        <w:ind w:left="562" w:right="645" w:hanging="562"/>
        <w:rPr>
          <w:rFonts w:ascii="Symbol" w:eastAsia="Symbol" w:hAnsi="Symbol"/>
          <w:sz w:val="22"/>
        </w:rPr>
      </w:pPr>
      <w:r>
        <w:rPr>
          <w:rFonts w:ascii="Times New Roman" w:eastAsia="Times New Roman" w:hAnsi="Times New Roman"/>
          <w:sz w:val="22"/>
        </w:rPr>
        <w:t>rifampicino, kuris yra antibiotikas ir vartojamas infekcinėms ligoms (pvz., tuberkuliozei) gydyti;</w:t>
      </w:r>
    </w:p>
    <w:p w:rsidR="00EB0E31" w:rsidRDefault="00EB0E31" w:rsidP="00EB0E31">
      <w:pPr>
        <w:numPr>
          <w:ilvl w:val="0"/>
          <w:numId w:val="8"/>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ketokonazolo, kuris gali būti vartojamas grybelių sukeltoms infekcinėms ligoms gydyti;</w:t>
      </w:r>
    </w:p>
    <w:p w:rsidR="00EB0E31" w:rsidRDefault="00EB0E31" w:rsidP="00EB0E31">
      <w:pPr>
        <w:numPr>
          <w:ilvl w:val="0"/>
          <w:numId w:val="8"/>
        </w:numPr>
        <w:tabs>
          <w:tab w:val="left" w:pos="562"/>
        </w:tabs>
        <w:spacing w:line="0" w:lineRule="atLeast"/>
        <w:ind w:left="562" w:hanging="562"/>
        <w:rPr>
          <w:rFonts w:ascii="Symbol" w:eastAsia="Symbol" w:hAnsi="Symbol"/>
          <w:sz w:val="22"/>
        </w:rPr>
      </w:pPr>
      <w:proofErr w:type="gramStart"/>
      <w:r>
        <w:rPr>
          <w:rFonts w:ascii="Times New Roman" w:eastAsia="Times New Roman" w:hAnsi="Times New Roman"/>
          <w:sz w:val="22"/>
        </w:rPr>
        <w:t>diltiazemo</w:t>
      </w:r>
      <w:proofErr w:type="gramEnd"/>
      <w:r>
        <w:rPr>
          <w:rFonts w:ascii="Times New Roman" w:eastAsia="Times New Roman" w:hAnsi="Times New Roman"/>
          <w:sz w:val="22"/>
        </w:rPr>
        <w:t>, vaisto kraujospūdžiui mažinti.</w:t>
      </w:r>
    </w:p>
    <w:p w:rsidR="00EB0E31" w:rsidRDefault="00EB0E31" w:rsidP="00EB0E31">
      <w:pPr>
        <w:spacing w:line="220"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Nėštumas ir žindymo laikotarpis</w:t>
      </w:r>
    </w:p>
    <w:p w:rsidR="00EB0E31" w:rsidRDefault="00EB0E31" w:rsidP="00EB0E31">
      <w:pPr>
        <w:spacing w:line="22" w:lineRule="exact"/>
        <w:rPr>
          <w:rFonts w:ascii="Times New Roman" w:eastAsia="Times New Roman" w:hAnsi="Times New Roman"/>
        </w:rPr>
      </w:pPr>
    </w:p>
    <w:p w:rsidR="00EB0E31" w:rsidRDefault="00EB0E31" w:rsidP="00EB0E31">
      <w:pPr>
        <w:spacing w:line="249" w:lineRule="auto"/>
        <w:ind w:left="2" w:right="605"/>
        <w:rPr>
          <w:rFonts w:ascii="Times New Roman" w:eastAsia="Times New Roman" w:hAnsi="Times New Roman"/>
          <w:sz w:val="22"/>
        </w:rPr>
      </w:pPr>
      <w:r>
        <w:rPr>
          <w:rFonts w:ascii="Times New Roman" w:eastAsia="Times New Roman" w:hAnsi="Times New Roman"/>
          <w:sz w:val="22"/>
        </w:rPr>
        <w:t xml:space="preserve">Jeigu esate nėščia arba planuojate pastoti, pasakykite apie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gydytojui, prieš pradėdama vartoti Onglyza. </w:t>
      </w:r>
      <w:proofErr w:type="gramStart"/>
      <w:r>
        <w:rPr>
          <w:rFonts w:ascii="Times New Roman" w:eastAsia="Times New Roman" w:hAnsi="Times New Roman"/>
          <w:sz w:val="22"/>
        </w:rPr>
        <w:t>Nėštumo laikotarpiu Onglyza vartoti negalima.</w:t>
      </w:r>
      <w:proofErr w:type="gramEnd"/>
    </w:p>
    <w:p w:rsidR="00EB0E31" w:rsidRDefault="00EB0E31" w:rsidP="00EB0E31">
      <w:pPr>
        <w:spacing w:line="210" w:lineRule="exact"/>
        <w:rPr>
          <w:rFonts w:ascii="Times New Roman" w:eastAsia="Times New Roman" w:hAnsi="Times New Roman"/>
        </w:rPr>
      </w:pPr>
    </w:p>
    <w:p w:rsidR="00EB0E31" w:rsidRDefault="00EB0E31" w:rsidP="00EB0E31">
      <w:pPr>
        <w:spacing w:line="254" w:lineRule="auto"/>
        <w:ind w:left="2" w:right="125"/>
        <w:rPr>
          <w:rFonts w:ascii="Times New Roman" w:eastAsia="Times New Roman" w:hAnsi="Times New Roman"/>
          <w:sz w:val="22"/>
        </w:rPr>
      </w:pPr>
      <w:proofErr w:type="gramStart"/>
      <w:r>
        <w:rPr>
          <w:rFonts w:ascii="Times New Roman" w:eastAsia="Times New Roman" w:hAnsi="Times New Roman"/>
          <w:sz w:val="22"/>
        </w:rPr>
        <w:t>Jeigu šio vaisto vartojimo laikotarpiu norite žindyti, pasitarkite su gydytoju.</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Ar Onglyza patenka į moters pieną, nežinoma.</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Žindančioms arba planuojančioms žindyti kūdikį moterims šio vaisto vartoti negalima.</w:t>
      </w:r>
      <w:proofErr w:type="gramEnd"/>
    </w:p>
    <w:p w:rsidR="00EB0E31" w:rsidRDefault="00EB0E31" w:rsidP="00EB0E31">
      <w:pPr>
        <w:spacing w:line="205"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Vairavimas ir mechanizmų valdymas</w:t>
      </w:r>
    </w:p>
    <w:p w:rsidR="00EB0E31" w:rsidRDefault="00EB0E31" w:rsidP="00EB0E31">
      <w:pPr>
        <w:spacing w:line="25" w:lineRule="exact"/>
        <w:rPr>
          <w:rFonts w:ascii="Times New Roman" w:eastAsia="Times New Roman" w:hAnsi="Times New Roman"/>
        </w:rPr>
      </w:pPr>
    </w:p>
    <w:p w:rsidR="00EB0E31" w:rsidRDefault="00EB0E31" w:rsidP="00EB0E31">
      <w:pPr>
        <w:ind w:left="2" w:right="85"/>
        <w:rPr>
          <w:rFonts w:ascii="Times New Roman" w:eastAsia="Times New Roman" w:hAnsi="Times New Roman"/>
          <w:sz w:val="22"/>
        </w:rPr>
      </w:pPr>
      <w:proofErr w:type="gramStart"/>
      <w:r>
        <w:rPr>
          <w:rFonts w:ascii="Times New Roman" w:eastAsia="Times New Roman" w:hAnsi="Times New Roman"/>
          <w:sz w:val="22"/>
        </w:rPr>
        <w:t>Jeigu, vartojant Onglyza, svaigsta galva, vairuoti ir mechanizmų valdyti negalima.</w:t>
      </w:r>
      <w:proofErr w:type="gramEnd"/>
      <w:r>
        <w:rPr>
          <w:rFonts w:ascii="Times New Roman" w:eastAsia="Times New Roman" w:hAnsi="Times New Roman"/>
          <w:sz w:val="22"/>
        </w:rPr>
        <w:t xml:space="preserve"> Be to, gebėjimas vairuoti, valdyti mechanizmus ar dirbti ant saugios atramos gali sutrikti </w:t>
      </w:r>
      <w:proofErr w:type="gramStart"/>
      <w:r>
        <w:rPr>
          <w:rFonts w:ascii="Times New Roman" w:eastAsia="Times New Roman" w:hAnsi="Times New Roman"/>
          <w:sz w:val="22"/>
        </w:rPr>
        <w:t>dėl</w:t>
      </w:r>
      <w:proofErr w:type="gramEnd"/>
      <w:r>
        <w:rPr>
          <w:rFonts w:ascii="Times New Roman" w:eastAsia="Times New Roman" w:hAnsi="Times New Roman"/>
          <w:sz w:val="22"/>
        </w:rPr>
        <w:t xml:space="preserve"> hipoglikemijos (sumažėjusio cukraus kiekio kraujyje), kurios pavojus kyla šį vaistą vartojant kartu su ją sukeliančiais kitais vaistais, tokiais, kaip insulinas arba sulfonilkarbamidai).</w:t>
      </w:r>
    </w:p>
    <w:p w:rsidR="00EB0E31" w:rsidRDefault="00EB0E31" w:rsidP="00EB0E31">
      <w:pPr>
        <w:spacing w:line="221"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Onglyza sudėtyje yra laktozės</w:t>
      </w:r>
    </w:p>
    <w:p w:rsidR="00EB0E31" w:rsidRDefault="00EB0E31" w:rsidP="00EB0E31">
      <w:pPr>
        <w:spacing w:line="253" w:lineRule="exact"/>
        <w:rPr>
          <w:rFonts w:ascii="Times New Roman" w:eastAsia="Times New Roman" w:hAnsi="Times New Roman"/>
        </w:rPr>
      </w:pPr>
    </w:p>
    <w:p w:rsidR="00EB0E31" w:rsidRDefault="00EB0E31" w:rsidP="00EB0E31">
      <w:pPr>
        <w:spacing w:line="268" w:lineRule="auto"/>
        <w:ind w:left="2" w:right="185"/>
        <w:rPr>
          <w:rFonts w:ascii="Times New Roman" w:eastAsia="Times New Roman" w:hAnsi="Times New Roman"/>
          <w:sz w:val="22"/>
        </w:rPr>
      </w:pPr>
      <w:proofErr w:type="gramStart"/>
      <w:r>
        <w:rPr>
          <w:rFonts w:ascii="Times New Roman" w:eastAsia="Times New Roman" w:hAnsi="Times New Roman"/>
          <w:sz w:val="22"/>
        </w:rPr>
        <w:t>Šių tablečių sudėtyje yra laktozės (pieno cukraus).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Jeigu gydytojas Jums yra sakęs, kad netoleruojate kai kurių angliavandenių, kreipkitės į jį prieš pradėdami vartoti šį vaistą.</w:t>
      </w:r>
      <w:proofErr w:type="gramEnd"/>
    </w:p>
    <w:p w:rsidR="00EB0E31" w:rsidRDefault="00EB0E31" w:rsidP="00EB0E31">
      <w:pPr>
        <w:spacing w:line="200" w:lineRule="exact"/>
        <w:rPr>
          <w:rFonts w:ascii="Times New Roman" w:eastAsia="Times New Roman" w:hAnsi="Times New Roman"/>
        </w:rPr>
      </w:pPr>
    </w:p>
    <w:p w:rsidR="00EB0E31" w:rsidRDefault="00EB0E31" w:rsidP="00EB0E31">
      <w:pPr>
        <w:spacing w:line="240" w:lineRule="exact"/>
        <w:rPr>
          <w:rFonts w:ascii="Times New Roman" w:eastAsia="Times New Roman" w:hAnsi="Times New Roman"/>
        </w:rPr>
      </w:pPr>
    </w:p>
    <w:p w:rsidR="00EB0E31" w:rsidRDefault="00EB0E31" w:rsidP="00EB0E31">
      <w:pPr>
        <w:numPr>
          <w:ilvl w:val="0"/>
          <w:numId w:val="9"/>
        </w:numPr>
        <w:tabs>
          <w:tab w:val="left" w:pos="542"/>
        </w:tabs>
        <w:spacing w:line="0" w:lineRule="atLeast"/>
        <w:ind w:left="542" w:hanging="542"/>
        <w:rPr>
          <w:rFonts w:ascii="Times New Roman" w:eastAsia="Times New Roman" w:hAnsi="Times New Roman"/>
          <w:b/>
          <w:sz w:val="22"/>
        </w:rPr>
      </w:pPr>
      <w:r>
        <w:rPr>
          <w:rFonts w:ascii="Times New Roman" w:eastAsia="Times New Roman" w:hAnsi="Times New Roman"/>
          <w:b/>
          <w:sz w:val="22"/>
        </w:rPr>
        <w:t>Kaip vartoti Onglyza</w:t>
      </w:r>
    </w:p>
    <w:p w:rsidR="00EB0E31" w:rsidRDefault="00EB0E31" w:rsidP="00EB0E31">
      <w:pPr>
        <w:rPr>
          <w:rFonts w:ascii="Times New Roman" w:eastAsia="Times New Roman" w:hAnsi="Times New Roman"/>
          <w:b/>
          <w:sz w:val="22"/>
        </w:rPr>
        <w:sectPr w:rsidR="00EB0E31">
          <w:pgSz w:w="11900" w:h="16838"/>
          <w:pgMar w:top="1127" w:right="1440" w:bottom="211" w:left="1418" w:header="0" w:footer="0" w:gutter="0"/>
          <w:cols w:space="720"/>
        </w:sectPr>
      </w:pPr>
    </w:p>
    <w:p w:rsidR="00EB0E31" w:rsidRDefault="00EB0E31" w:rsidP="00EB0E31">
      <w:pPr>
        <w:spacing w:line="200" w:lineRule="exact"/>
        <w:rPr>
          <w:rFonts w:ascii="Times New Roman" w:eastAsia="Times New Roman" w:hAnsi="Times New Roman"/>
        </w:rPr>
      </w:pPr>
    </w:p>
    <w:p w:rsidR="00EB0E31" w:rsidRDefault="00EB0E31" w:rsidP="00EB0E31">
      <w:pPr>
        <w:spacing w:line="200" w:lineRule="exact"/>
        <w:rPr>
          <w:rFonts w:ascii="Times New Roman" w:eastAsia="Times New Roman" w:hAnsi="Times New Roman"/>
        </w:rPr>
      </w:pPr>
    </w:p>
    <w:p w:rsidR="00EB0E31" w:rsidRDefault="00EB0E31" w:rsidP="00EB0E31">
      <w:pPr>
        <w:spacing w:line="277" w:lineRule="exact"/>
        <w:rPr>
          <w:rFonts w:ascii="Times New Roman" w:eastAsia="Times New Roman" w:hAnsi="Times New Roman"/>
        </w:rPr>
      </w:pPr>
    </w:p>
    <w:p w:rsidR="00EB0E31" w:rsidRDefault="00EB0E31" w:rsidP="00EB0E31">
      <w:pPr>
        <w:spacing w:line="0" w:lineRule="atLeast"/>
        <w:ind w:right="-35"/>
        <w:jc w:val="center"/>
        <w:rPr>
          <w:rFonts w:ascii="Times New Roman" w:eastAsia="Times New Roman" w:hAnsi="Times New Roman"/>
        </w:rPr>
      </w:pPr>
      <w:r>
        <w:rPr>
          <w:rFonts w:ascii="Times New Roman" w:eastAsia="Times New Roman" w:hAnsi="Times New Roman"/>
        </w:rPr>
        <w:t>57</w:t>
      </w:r>
    </w:p>
    <w:p w:rsidR="00EB0E31" w:rsidRDefault="00EB0E31" w:rsidP="00EB0E31">
      <w:pPr>
        <w:rPr>
          <w:rFonts w:ascii="Times New Roman" w:eastAsia="Times New Roman" w:hAnsi="Times New Roman"/>
        </w:rPr>
        <w:sectPr w:rsidR="00EB0E31">
          <w:type w:val="continuous"/>
          <w:pgSz w:w="11900" w:h="16838"/>
          <w:pgMar w:top="1127" w:right="1440" w:bottom="211" w:left="1418" w:header="0" w:footer="0" w:gutter="0"/>
          <w:cols w:space="720"/>
        </w:sectPr>
      </w:pPr>
    </w:p>
    <w:p w:rsidR="00EB0E31" w:rsidRDefault="00EB0E31" w:rsidP="00EB0E31">
      <w:pPr>
        <w:spacing w:line="271" w:lineRule="auto"/>
        <w:ind w:left="2" w:right="340"/>
        <w:rPr>
          <w:rFonts w:ascii="Times New Roman" w:eastAsia="Times New Roman" w:hAnsi="Times New Roman"/>
          <w:sz w:val="22"/>
        </w:rPr>
      </w:pPr>
      <w:bookmarkStart w:id="2" w:name="page58"/>
      <w:bookmarkEnd w:id="2"/>
      <w:proofErr w:type="gramStart"/>
      <w:r>
        <w:rPr>
          <w:rFonts w:ascii="Times New Roman" w:eastAsia="Times New Roman" w:hAnsi="Times New Roman"/>
          <w:sz w:val="22"/>
        </w:rPr>
        <w:lastRenderedPageBreak/>
        <w:t>Visada vartokite šį vaistą tiksliai, kaip nurodė gydytojas.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Jeigu abejojate, kreipkitės į gydytoją arba vaistininką.</w:t>
      </w:r>
      <w:proofErr w:type="gramEnd"/>
    </w:p>
    <w:p w:rsidR="00EB0E31" w:rsidRDefault="00EB0E31" w:rsidP="00EB0E31">
      <w:pPr>
        <w:spacing w:line="185"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Rekomenduojama Onglyza dozė yra viena 5 mg tabletė 1 kartą per parą.</w:t>
      </w:r>
    </w:p>
    <w:p w:rsidR="00EB0E31" w:rsidRDefault="00EB0E31" w:rsidP="00EB0E31">
      <w:pPr>
        <w:spacing w:line="253"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Jeigu nesveiki Jūsų inkstai, gydytojas gali skirti mažesnę dozę – vieną 2</w:t>
      </w:r>
      <w:proofErr w:type="gramStart"/>
      <w:r>
        <w:rPr>
          <w:rFonts w:ascii="Times New Roman" w:eastAsia="Times New Roman" w:hAnsi="Times New Roman"/>
          <w:sz w:val="22"/>
        </w:rPr>
        <w:t>,5</w:t>
      </w:r>
      <w:proofErr w:type="gramEnd"/>
      <w:r>
        <w:rPr>
          <w:rFonts w:ascii="Times New Roman" w:eastAsia="Times New Roman" w:hAnsi="Times New Roman"/>
          <w:sz w:val="22"/>
        </w:rPr>
        <w:t xml:space="preserve"> mg tabletę 1 kartą per parą.</w:t>
      </w:r>
    </w:p>
    <w:p w:rsidR="00EB0E31" w:rsidRDefault="00EB0E31" w:rsidP="00EB0E31">
      <w:pPr>
        <w:spacing w:line="23"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proofErr w:type="gramStart"/>
      <w:r>
        <w:rPr>
          <w:rFonts w:ascii="Times New Roman" w:eastAsia="Times New Roman" w:hAnsi="Times New Roman"/>
          <w:sz w:val="22"/>
        </w:rPr>
        <w:t>Jai vartoti gaminamos kitokio stiprumo tabletės.</w:t>
      </w:r>
      <w:proofErr w:type="gramEnd"/>
    </w:p>
    <w:p w:rsidR="00EB0E31" w:rsidRDefault="00EB0E31" w:rsidP="00EB0E31">
      <w:pPr>
        <w:spacing w:line="229" w:lineRule="exact"/>
        <w:rPr>
          <w:rFonts w:ascii="Times New Roman" w:eastAsia="Times New Roman" w:hAnsi="Times New Roman"/>
        </w:rPr>
      </w:pPr>
    </w:p>
    <w:p w:rsidR="00EB0E31" w:rsidRDefault="00EB0E31" w:rsidP="00EB0E31">
      <w:pPr>
        <w:spacing w:line="254" w:lineRule="auto"/>
        <w:ind w:left="2" w:right="520"/>
        <w:rPr>
          <w:rFonts w:ascii="Times New Roman" w:eastAsia="Times New Roman" w:hAnsi="Times New Roman"/>
          <w:sz w:val="22"/>
        </w:rPr>
      </w:pPr>
      <w:proofErr w:type="gramStart"/>
      <w:r>
        <w:rPr>
          <w:rFonts w:ascii="Times New Roman" w:eastAsia="Times New Roman" w:hAnsi="Times New Roman"/>
          <w:sz w:val="22"/>
        </w:rPr>
        <w:t>Gydytojas gali skirti vartoti Onglyza atskirai arba kartu su insulinu ar kitu geriamuoju vaistu nuo cukrinio diabeto.</w:t>
      </w:r>
      <w:proofErr w:type="gramEnd"/>
      <w:r>
        <w:rPr>
          <w:rFonts w:ascii="Times New Roman" w:eastAsia="Times New Roman" w:hAnsi="Times New Roman"/>
          <w:sz w:val="22"/>
        </w:rPr>
        <w:t xml:space="preserve"> Jeigu gydytojas nurodė kartu vartoti kitą vaistą,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jį irgi vartokite tiksliai laikydamiesi gydytojo nurodymų, kad poveikis Jūsų sveikatai būtų geriausias.</w:t>
      </w:r>
    </w:p>
    <w:p w:rsidR="00EB0E31" w:rsidRDefault="00EB0E31" w:rsidP="00EB0E31">
      <w:pPr>
        <w:spacing w:line="202"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Kaip vartoti Onglyza</w:t>
      </w:r>
    </w:p>
    <w:p w:rsidR="00EB0E31" w:rsidRDefault="00EB0E31" w:rsidP="00EB0E31">
      <w:pPr>
        <w:spacing w:line="25" w:lineRule="exact"/>
        <w:rPr>
          <w:rFonts w:ascii="Times New Roman" w:eastAsia="Times New Roman" w:hAnsi="Times New Roman"/>
        </w:rPr>
      </w:pPr>
    </w:p>
    <w:p w:rsidR="00EB0E31" w:rsidRDefault="00EB0E31" w:rsidP="00EB0E31">
      <w:pPr>
        <w:spacing w:line="242" w:lineRule="auto"/>
        <w:ind w:left="2" w:right="100"/>
        <w:rPr>
          <w:rFonts w:ascii="Times New Roman" w:eastAsia="Times New Roman" w:hAnsi="Times New Roman"/>
          <w:sz w:val="22"/>
        </w:rPr>
      </w:pPr>
      <w:proofErr w:type="gramStart"/>
      <w:r>
        <w:rPr>
          <w:rFonts w:ascii="Times New Roman" w:eastAsia="Times New Roman" w:hAnsi="Times New Roman"/>
          <w:sz w:val="22"/>
        </w:rPr>
        <w:t>Šių tablečių negalima skaldyti ar pjaustyti.</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Tabletę reikia nuryti nepažeistą, užgeriant vandeniu, valgant arba kitu laiku.</w:t>
      </w:r>
      <w:proofErr w:type="gramEnd"/>
      <w:r>
        <w:rPr>
          <w:rFonts w:ascii="Times New Roman" w:eastAsia="Times New Roman" w:hAnsi="Times New Roman"/>
          <w:sz w:val="22"/>
        </w:rPr>
        <w:t xml:space="preserve"> Šias tabletes galima gerti bet kuriuo </w:t>
      </w:r>
      <w:proofErr w:type="gramStart"/>
      <w:r>
        <w:rPr>
          <w:rFonts w:ascii="Times New Roman" w:eastAsia="Times New Roman" w:hAnsi="Times New Roman"/>
          <w:sz w:val="22"/>
        </w:rPr>
        <w:t>paros</w:t>
      </w:r>
      <w:proofErr w:type="gramEnd"/>
      <w:r>
        <w:rPr>
          <w:rFonts w:ascii="Times New Roman" w:eastAsia="Times New Roman" w:hAnsi="Times New Roman"/>
          <w:sz w:val="22"/>
        </w:rPr>
        <w:t xml:space="preserve"> laiku, bet stenkitės jas gerti kasdien tuo pačiu laiku. </w:t>
      </w:r>
      <w:proofErr w:type="gramStart"/>
      <w:r>
        <w:rPr>
          <w:rFonts w:ascii="Times New Roman" w:eastAsia="Times New Roman" w:hAnsi="Times New Roman"/>
          <w:sz w:val="22"/>
        </w:rPr>
        <w:t>Tai padės prisiminti jas išgerti.</w:t>
      </w:r>
      <w:proofErr w:type="gramEnd"/>
    </w:p>
    <w:p w:rsidR="00EB0E31" w:rsidRDefault="00EB0E31" w:rsidP="00EB0E31">
      <w:pPr>
        <w:spacing w:line="216"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Pavartojus per didelę Onglyza dozę</w:t>
      </w:r>
    </w:p>
    <w:p w:rsidR="00EB0E31" w:rsidRDefault="00EB0E31" w:rsidP="00EB0E31">
      <w:pPr>
        <w:spacing w:line="25"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proofErr w:type="gramStart"/>
      <w:r>
        <w:rPr>
          <w:rFonts w:ascii="Times New Roman" w:eastAsia="Times New Roman" w:hAnsi="Times New Roman"/>
          <w:sz w:val="22"/>
        </w:rPr>
        <w:t>Jeigu išgėrėte per daug tablečių, tuoj pat kreipkitės į gydytoją.</w:t>
      </w:r>
      <w:proofErr w:type="gramEnd"/>
    </w:p>
    <w:p w:rsidR="00EB0E31" w:rsidRDefault="00EB0E31" w:rsidP="00EB0E31">
      <w:pPr>
        <w:spacing w:line="230"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Pamiršus pavartoti Onglyza</w:t>
      </w:r>
    </w:p>
    <w:p w:rsidR="00EB0E31" w:rsidRDefault="00EB0E31" w:rsidP="00EB0E31">
      <w:pPr>
        <w:spacing w:line="13" w:lineRule="exact"/>
        <w:rPr>
          <w:rFonts w:ascii="Times New Roman" w:eastAsia="Times New Roman" w:hAnsi="Times New Roman"/>
        </w:rPr>
      </w:pPr>
    </w:p>
    <w:p w:rsidR="00EB0E31" w:rsidRDefault="00EB0E31" w:rsidP="00EB0E31">
      <w:pPr>
        <w:numPr>
          <w:ilvl w:val="0"/>
          <w:numId w:val="10"/>
        </w:numPr>
        <w:tabs>
          <w:tab w:val="left" w:pos="562"/>
        </w:tabs>
        <w:spacing w:line="247" w:lineRule="auto"/>
        <w:ind w:left="562" w:right="400" w:hanging="562"/>
        <w:rPr>
          <w:rFonts w:ascii="Symbol" w:eastAsia="Symbol" w:hAnsi="Symbol"/>
          <w:sz w:val="22"/>
        </w:rPr>
      </w:pPr>
      <w:r>
        <w:rPr>
          <w:rFonts w:ascii="Times New Roman" w:eastAsia="Times New Roman" w:hAnsi="Times New Roman"/>
          <w:sz w:val="22"/>
        </w:rPr>
        <w:t xml:space="preserve">Prisiminę užmirštą Onglyza dozę išgerkite </w:t>
      </w:r>
      <w:proofErr w:type="gramStart"/>
      <w:r>
        <w:rPr>
          <w:rFonts w:ascii="Times New Roman" w:eastAsia="Times New Roman" w:hAnsi="Times New Roman"/>
          <w:sz w:val="22"/>
        </w:rPr>
        <w:t>ją</w:t>
      </w:r>
      <w:proofErr w:type="gramEnd"/>
      <w:r>
        <w:rPr>
          <w:rFonts w:ascii="Times New Roman" w:eastAsia="Times New Roman" w:hAnsi="Times New Roman"/>
          <w:sz w:val="22"/>
        </w:rPr>
        <w:t xml:space="preserve"> iš karto. Vis dėlto, jeigu jau beveik laikas kitai dozei,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užmirštąją praleiskite.</w:t>
      </w:r>
    </w:p>
    <w:p w:rsidR="00EB0E31" w:rsidRDefault="00EB0E31" w:rsidP="00EB0E31">
      <w:pPr>
        <w:spacing w:line="1" w:lineRule="exact"/>
        <w:rPr>
          <w:rFonts w:ascii="Symbol" w:eastAsia="Symbol" w:hAnsi="Symbol"/>
          <w:sz w:val="22"/>
        </w:rPr>
      </w:pPr>
    </w:p>
    <w:p w:rsidR="00EB0E31" w:rsidRDefault="00EB0E31" w:rsidP="00EB0E31">
      <w:pPr>
        <w:numPr>
          <w:ilvl w:val="0"/>
          <w:numId w:val="10"/>
        </w:numPr>
        <w:tabs>
          <w:tab w:val="left" w:pos="562"/>
        </w:tabs>
        <w:spacing w:line="237" w:lineRule="auto"/>
        <w:ind w:left="562" w:right="520" w:hanging="562"/>
        <w:rPr>
          <w:rFonts w:ascii="Symbol" w:eastAsia="Symbol" w:hAnsi="Symbol"/>
          <w:sz w:val="22"/>
        </w:rPr>
      </w:pPr>
      <w:r>
        <w:rPr>
          <w:rFonts w:ascii="Times New Roman" w:eastAsia="Times New Roman" w:hAnsi="Times New Roman"/>
          <w:sz w:val="22"/>
        </w:rPr>
        <w:t xml:space="preserve">Negalima vartoti dvigubos </w:t>
      </w:r>
      <w:proofErr w:type="gramStart"/>
      <w:r>
        <w:rPr>
          <w:rFonts w:ascii="Times New Roman" w:eastAsia="Times New Roman" w:hAnsi="Times New Roman"/>
          <w:sz w:val="22"/>
        </w:rPr>
        <w:t>dozės</w:t>
      </w:r>
      <w:proofErr w:type="gramEnd"/>
      <w:r>
        <w:rPr>
          <w:rFonts w:ascii="Times New Roman" w:eastAsia="Times New Roman" w:hAnsi="Times New Roman"/>
          <w:sz w:val="22"/>
        </w:rPr>
        <w:t xml:space="preserve"> norint kompensuoti praleistą dozę. Negalima gerti dviejų dozių tą pačią dieną.</w:t>
      </w:r>
    </w:p>
    <w:p w:rsidR="00EB0E31" w:rsidRDefault="00EB0E31" w:rsidP="00EB0E31">
      <w:pPr>
        <w:spacing w:line="221"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Nustojus vartoti Onglyza</w:t>
      </w:r>
    </w:p>
    <w:p w:rsidR="00EB0E31" w:rsidRDefault="00EB0E31" w:rsidP="00EB0E31">
      <w:pPr>
        <w:spacing w:line="25" w:lineRule="exact"/>
        <w:rPr>
          <w:rFonts w:ascii="Times New Roman" w:eastAsia="Times New Roman" w:hAnsi="Times New Roman"/>
        </w:rPr>
      </w:pPr>
    </w:p>
    <w:p w:rsidR="00EB0E31" w:rsidRDefault="00EB0E31" w:rsidP="00EB0E31">
      <w:pPr>
        <w:spacing w:line="247" w:lineRule="auto"/>
        <w:ind w:left="2" w:right="180"/>
        <w:rPr>
          <w:rFonts w:ascii="Times New Roman" w:eastAsia="Times New Roman" w:hAnsi="Times New Roman"/>
          <w:sz w:val="22"/>
        </w:rPr>
      </w:pPr>
      <w:r>
        <w:rPr>
          <w:rFonts w:ascii="Times New Roman" w:eastAsia="Times New Roman" w:hAnsi="Times New Roman"/>
          <w:sz w:val="22"/>
        </w:rPr>
        <w:t xml:space="preserve">Vartokite Onglyza tiek laiko, kiek nurodys gydytojas –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padės palaikyti sureguliuotą cukraus kiekį Jūsų kraujyje.</w:t>
      </w:r>
    </w:p>
    <w:p w:rsidR="00EB0E31" w:rsidRDefault="00EB0E31" w:rsidP="00EB0E31">
      <w:pPr>
        <w:spacing w:line="212"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 xml:space="preserve">Jeigu kiltų daugiau klausimų </w:t>
      </w:r>
      <w:proofErr w:type="gramStart"/>
      <w:r>
        <w:rPr>
          <w:rFonts w:ascii="Times New Roman" w:eastAsia="Times New Roman" w:hAnsi="Times New Roman"/>
          <w:sz w:val="22"/>
        </w:rPr>
        <w:t>dėl</w:t>
      </w:r>
      <w:proofErr w:type="gramEnd"/>
      <w:r>
        <w:rPr>
          <w:rFonts w:ascii="Times New Roman" w:eastAsia="Times New Roman" w:hAnsi="Times New Roman"/>
          <w:sz w:val="22"/>
        </w:rPr>
        <w:t xml:space="preserve"> šio vaisto vartojimo, kreipkitės į gydytoją arba vaistininką.</w:t>
      </w:r>
    </w:p>
    <w:p w:rsidR="00EB0E31" w:rsidRDefault="00EB0E31" w:rsidP="00EB0E31">
      <w:pPr>
        <w:spacing w:line="200" w:lineRule="exact"/>
        <w:rPr>
          <w:rFonts w:ascii="Times New Roman" w:eastAsia="Times New Roman" w:hAnsi="Times New Roman"/>
        </w:rPr>
      </w:pPr>
    </w:p>
    <w:p w:rsidR="00EB0E31" w:rsidRDefault="00EB0E31" w:rsidP="00EB0E31">
      <w:pPr>
        <w:spacing w:line="306" w:lineRule="exact"/>
        <w:rPr>
          <w:rFonts w:ascii="Times New Roman" w:eastAsia="Times New Roman" w:hAnsi="Times New Roman"/>
        </w:rPr>
      </w:pPr>
    </w:p>
    <w:p w:rsidR="00EB0E31" w:rsidRDefault="00EB0E31" w:rsidP="00EB0E31">
      <w:pPr>
        <w:numPr>
          <w:ilvl w:val="0"/>
          <w:numId w:val="11"/>
        </w:numPr>
        <w:tabs>
          <w:tab w:val="left" w:pos="542"/>
        </w:tabs>
        <w:spacing w:line="0" w:lineRule="atLeast"/>
        <w:ind w:left="542" w:hanging="542"/>
        <w:rPr>
          <w:rFonts w:ascii="Times New Roman" w:eastAsia="Times New Roman" w:hAnsi="Times New Roman"/>
          <w:b/>
          <w:sz w:val="22"/>
        </w:rPr>
      </w:pPr>
      <w:r>
        <w:rPr>
          <w:rFonts w:ascii="Times New Roman" w:eastAsia="Times New Roman" w:hAnsi="Times New Roman"/>
          <w:b/>
          <w:sz w:val="22"/>
        </w:rPr>
        <w:t>Galimas šalutinis poveikis</w:t>
      </w:r>
    </w:p>
    <w:p w:rsidR="00EB0E31" w:rsidRDefault="00EB0E31" w:rsidP="00EB0E31">
      <w:pPr>
        <w:spacing w:line="253"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proofErr w:type="gramStart"/>
      <w:r>
        <w:rPr>
          <w:rFonts w:ascii="Times New Roman" w:eastAsia="Times New Roman" w:hAnsi="Times New Roman"/>
          <w:sz w:val="22"/>
        </w:rPr>
        <w:t>Šis vaistas, kaip ir kiti, gali sukelti šalutinį poveikį, nors jis pasireiškia ne visiems žmonėms.</w:t>
      </w:r>
      <w:proofErr w:type="gramEnd"/>
    </w:p>
    <w:p w:rsidR="00EB0E31" w:rsidRDefault="00EB0E31" w:rsidP="00EB0E31">
      <w:pPr>
        <w:spacing w:line="254"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Kai kurie simptomai, </w:t>
      </w:r>
      <w:proofErr w:type="gramStart"/>
      <w:r>
        <w:rPr>
          <w:rFonts w:ascii="Times New Roman" w:eastAsia="Times New Roman" w:hAnsi="Times New Roman"/>
          <w:b/>
          <w:sz w:val="22"/>
        </w:rPr>
        <w:t>dėl</w:t>
      </w:r>
      <w:proofErr w:type="gramEnd"/>
      <w:r>
        <w:rPr>
          <w:rFonts w:ascii="Times New Roman" w:eastAsia="Times New Roman" w:hAnsi="Times New Roman"/>
          <w:b/>
          <w:sz w:val="22"/>
        </w:rPr>
        <w:t xml:space="preserve"> kurių reikia skubios gydytojo pagalbos:</w:t>
      </w:r>
    </w:p>
    <w:p w:rsidR="00EB0E31" w:rsidRDefault="00EB0E31" w:rsidP="00EB0E31">
      <w:pPr>
        <w:spacing w:line="22" w:lineRule="exact"/>
        <w:rPr>
          <w:rFonts w:ascii="Times New Roman" w:eastAsia="Times New Roman" w:hAnsi="Times New Roman"/>
        </w:rPr>
      </w:pPr>
    </w:p>
    <w:p w:rsidR="00EB0E31" w:rsidRDefault="00EB0E31" w:rsidP="00EB0E31">
      <w:pPr>
        <w:ind w:left="2" w:right="100"/>
        <w:rPr>
          <w:rFonts w:ascii="Times New Roman" w:eastAsia="Times New Roman" w:hAnsi="Times New Roman"/>
          <w:sz w:val="22"/>
        </w:rPr>
      </w:pPr>
      <w:proofErr w:type="gramStart"/>
      <w:r>
        <w:rPr>
          <w:rFonts w:ascii="Times New Roman" w:eastAsia="Times New Roman" w:hAnsi="Times New Roman"/>
          <w:sz w:val="22"/>
        </w:rPr>
        <w:t>Nedelsdami nutraukite Onglyza vartojimą ir kreipkitės į gydytoją, jeigu pasireiškia šių cukraus kiekio kraujyje sumažėjimo (hipoglikemijos) simptomų: drebulys, prakaitavimas, nerimas, neryškus matymas, lūpų dilgčiojimas, blyškumas, pakitusi nuotaika, sutrikusi orientacija ar sumišimas.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Hipoglikemija pastebėta labai dažnai (gali paveikti daugiau negu 1 iš 10 žmonių).</w:t>
      </w:r>
      <w:proofErr w:type="gramEnd"/>
    </w:p>
    <w:p w:rsidR="00EB0E31" w:rsidRDefault="00EB0E31" w:rsidP="00EB0E31">
      <w:pPr>
        <w:spacing w:line="220" w:lineRule="exact"/>
        <w:rPr>
          <w:rFonts w:ascii="Times New Roman" w:eastAsia="Times New Roman" w:hAnsi="Times New Roman"/>
        </w:rPr>
      </w:pPr>
    </w:p>
    <w:p w:rsidR="00EB0E31" w:rsidRDefault="00EB0E31" w:rsidP="00EB0E31">
      <w:pPr>
        <w:spacing w:line="249" w:lineRule="auto"/>
        <w:ind w:left="2" w:right="900"/>
        <w:rPr>
          <w:rFonts w:ascii="Times New Roman" w:eastAsia="Times New Roman" w:hAnsi="Times New Roman"/>
          <w:sz w:val="22"/>
        </w:rPr>
      </w:pPr>
      <w:r>
        <w:rPr>
          <w:rFonts w:ascii="Times New Roman" w:eastAsia="Times New Roman" w:hAnsi="Times New Roman"/>
          <w:sz w:val="22"/>
        </w:rPr>
        <w:t>Sunkios alerginės reakcijos (pastebėta retai, gali paveikti ne daugiau kaip 1 iš 1000 žmonių), simptomai gali būti šie:</w:t>
      </w:r>
    </w:p>
    <w:p w:rsidR="00EB0E31" w:rsidRDefault="00EB0E31" w:rsidP="00EB0E31">
      <w:pPr>
        <w:tabs>
          <w:tab w:val="left" w:pos="1061"/>
        </w:tabs>
        <w:spacing w:line="0" w:lineRule="atLeast"/>
        <w:ind w:left="722"/>
        <w:rPr>
          <w:rFonts w:ascii="Times New Roman" w:eastAsia="Times New Roman" w:hAnsi="Times New Roman"/>
          <w:sz w:val="22"/>
        </w:rPr>
      </w:pPr>
      <w:proofErr w:type="gramStart"/>
      <w:r>
        <w:rPr>
          <w:rFonts w:ascii="Times New Roman" w:eastAsia="Times New Roman" w:hAnsi="Times New Roman"/>
          <w:sz w:val="22"/>
        </w:rPr>
        <w:t>o</w:t>
      </w:r>
      <w:proofErr w:type="gramEnd"/>
      <w:r>
        <w:rPr>
          <w:rFonts w:ascii="Times New Roman" w:eastAsia="Times New Roman" w:hAnsi="Times New Roman"/>
          <w:sz w:val="22"/>
        </w:rPr>
        <w:tab/>
        <w:t>išbėrimas;</w:t>
      </w:r>
    </w:p>
    <w:p w:rsidR="00EB0E31" w:rsidRDefault="00EB0E31" w:rsidP="00EB0E31">
      <w:pPr>
        <w:tabs>
          <w:tab w:val="left" w:pos="1061"/>
        </w:tabs>
        <w:spacing w:line="0" w:lineRule="atLeast"/>
        <w:ind w:left="722"/>
        <w:rPr>
          <w:rFonts w:ascii="Times New Roman" w:eastAsia="Times New Roman" w:hAnsi="Times New Roman"/>
          <w:sz w:val="22"/>
        </w:rPr>
      </w:pPr>
      <w:proofErr w:type="gramStart"/>
      <w:r>
        <w:rPr>
          <w:rFonts w:ascii="Times New Roman" w:eastAsia="Times New Roman" w:hAnsi="Times New Roman"/>
          <w:sz w:val="22"/>
        </w:rPr>
        <w:t>o</w:t>
      </w:r>
      <w:proofErr w:type="gramEnd"/>
      <w:r>
        <w:rPr>
          <w:rFonts w:ascii="Times New Roman" w:eastAsia="Times New Roman" w:hAnsi="Times New Roman"/>
          <w:sz w:val="22"/>
        </w:rPr>
        <w:tab/>
        <w:t>iškilos raudonos dėmės odoje (dilgėlinė);</w:t>
      </w:r>
    </w:p>
    <w:p w:rsidR="00EB0E31" w:rsidRDefault="00EB0E31" w:rsidP="00EB0E31">
      <w:pPr>
        <w:spacing w:line="1" w:lineRule="exact"/>
        <w:rPr>
          <w:rFonts w:ascii="Times New Roman" w:eastAsia="Times New Roman" w:hAnsi="Times New Roman"/>
        </w:rPr>
      </w:pPr>
    </w:p>
    <w:p w:rsidR="00EB0E31" w:rsidRDefault="00EB0E31" w:rsidP="00EB0E31">
      <w:pPr>
        <w:tabs>
          <w:tab w:val="left" w:pos="1061"/>
        </w:tabs>
        <w:spacing w:line="0" w:lineRule="atLeast"/>
        <w:ind w:left="722"/>
        <w:rPr>
          <w:rFonts w:ascii="Times New Roman" w:eastAsia="Times New Roman" w:hAnsi="Times New Roman"/>
          <w:sz w:val="22"/>
        </w:rPr>
      </w:pPr>
      <w:proofErr w:type="gramStart"/>
      <w:r>
        <w:rPr>
          <w:rFonts w:ascii="Times New Roman" w:eastAsia="Times New Roman" w:hAnsi="Times New Roman"/>
          <w:sz w:val="22"/>
        </w:rPr>
        <w:t>o</w:t>
      </w:r>
      <w:proofErr w:type="gramEnd"/>
      <w:r>
        <w:rPr>
          <w:rFonts w:ascii="Times New Roman" w:eastAsia="Times New Roman" w:hAnsi="Times New Roman"/>
          <w:sz w:val="22"/>
        </w:rPr>
        <w:tab/>
        <w:t>veido, lūpų, liežuvio ir gerklės patinimas, dėl kurių gali pasunkėti kvėpavimas ar rijimas.</w:t>
      </w:r>
    </w:p>
    <w:p w:rsidR="00EB0E31" w:rsidRDefault="00EB0E31" w:rsidP="00EB0E31">
      <w:pPr>
        <w:spacing w:line="229" w:lineRule="exact"/>
        <w:rPr>
          <w:rFonts w:ascii="Times New Roman" w:eastAsia="Times New Roman" w:hAnsi="Times New Roman"/>
        </w:rPr>
      </w:pPr>
    </w:p>
    <w:p w:rsidR="00EB0E31" w:rsidRDefault="00EB0E31" w:rsidP="00EB0E31">
      <w:pPr>
        <w:spacing w:line="254" w:lineRule="auto"/>
        <w:ind w:left="2"/>
        <w:rPr>
          <w:rFonts w:ascii="Times New Roman" w:eastAsia="Times New Roman" w:hAnsi="Times New Roman"/>
          <w:sz w:val="22"/>
        </w:rPr>
      </w:pPr>
      <w:proofErr w:type="gramStart"/>
      <w:r>
        <w:rPr>
          <w:rFonts w:ascii="Times New Roman" w:eastAsia="Times New Roman" w:hAnsi="Times New Roman"/>
          <w:sz w:val="22"/>
        </w:rPr>
        <w:t>Jeigu pasireikštų tokių simptomų, tuoj pat nutraukite Onglyza vartojimą ir kvieskite gydytoją arba slaugytoją.</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Tokiu atveju gydytojas gali paskirti vaisto alerginei reakcijai gydyti, o šį vaistą nuo diabeto pakeisti kitu.</w:t>
      </w:r>
      <w:proofErr w:type="gramEnd"/>
    </w:p>
    <w:p w:rsidR="00EB0E31" w:rsidRDefault="00EB0E31" w:rsidP="00EB0E31">
      <w:pPr>
        <w:spacing w:line="204" w:lineRule="exact"/>
        <w:rPr>
          <w:rFonts w:ascii="Times New Roman" w:eastAsia="Times New Roman" w:hAnsi="Times New Roman"/>
        </w:rPr>
      </w:pPr>
    </w:p>
    <w:p w:rsidR="00EB0E31" w:rsidRDefault="00EB0E31" w:rsidP="00EB0E31">
      <w:pPr>
        <w:spacing w:line="244" w:lineRule="auto"/>
        <w:ind w:left="2" w:right="160"/>
        <w:rPr>
          <w:rFonts w:ascii="Times New Roman" w:eastAsia="Times New Roman" w:hAnsi="Times New Roman"/>
          <w:sz w:val="22"/>
        </w:rPr>
      </w:pPr>
      <w:r>
        <w:rPr>
          <w:rFonts w:ascii="Times New Roman" w:eastAsia="Times New Roman" w:hAnsi="Times New Roman"/>
          <w:sz w:val="22"/>
        </w:rPr>
        <w:t>Nedelsdami nutraukite Onglyza vartojimą ir kreipkitės į gydytoją, jeigu pajustumėte šį sunkų šalutinį poveikį:</w:t>
      </w:r>
    </w:p>
    <w:p w:rsidR="00EB0E31" w:rsidRDefault="00EB0E31" w:rsidP="00EB0E31">
      <w:pPr>
        <w:spacing w:line="2" w:lineRule="exact"/>
        <w:rPr>
          <w:rFonts w:ascii="Times New Roman" w:eastAsia="Times New Roman" w:hAnsi="Times New Roman"/>
        </w:rPr>
      </w:pPr>
    </w:p>
    <w:p w:rsidR="00EB0E31" w:rsidRDefault="00EB0E31" w:rsidP="00EB0E31">
      <w:pPr>
        <w:numPr>
          <w:ilvl w:val="0"/>
          <w:numId w:val="12"/>
        </w:numPr>
        <w:tabs>
          <w:tab w:val="left" w:pos="562"/>
        </w:tabs>
        <w:spacing w:line="256" w:lineRule="auto"/>
        <w:ind w:left="562" w:right="420" w:hanging="562"/>
        <w:rPr>
          <w:rFonts w:ascii="Symbol" w:eastAsia="Symbol" w:hAnsi="Symbol"/>
          <w:sz w:val="22"/>
        </w:rPr>
      </w:pPr>
      <w:proofErr w:type="gramStart"/>
      <w:r>
        <w:rPr>
          <w:rFonts w:ascii="Times New Roman" w:eastAsia="Times New Roman" w:hAnsi="Times New Roman"/>
          <w:sz w:val="22"/>
        </w:rPr>
        <w:t>stiprų</w:t>
      </w:r>
      <w:proofErr w:type="gramEnd"/>
      <w:r>
        <w:rPr>
          <w:rFonts w:ascii="Times New Roman" w:eastAsia="Times New Roman" w:hAnsi="Times New Roman"/>
          <w:sz w:val="22"/>
        </w:rPr>
        <w:t xml:space="preserve"> nuolatinį pilvo skausmą, kuris gali plisti į nugarą, pykinimą ir vėmimą (tai gali rodyti kasos uždegimą – pankreatitą).</w:t>
      </w:r>
    </w:p>
    <w:p w:rsidR="00EB0E31" w:rsidRDefault="00EB0E31" w:rsidP="00EB0E31">
      <w:pPr>
        <w:spacing w:line="256" w:lineRule="auto"/>
        <w:rPr>
          <w:rFonts w:ascii="Symbol" w:eastAsia="Symbol" w:hAnsi="Symbol"/>
          <w:sz w:val="22"/>
        </w:rPr>
        <w:sectPr w:rsidR="00EB0E31">
          <w:pgSz w:w="11900" w:h="16838"/>
          <w:pgMar w:top="1112" w:right="1425" w:bottom="211" w:left="1418" w:header="0" w:footer="0" w:gutter="0"/>
          <w:cols w:space="720"/>
        </w:sectPr>
      </w:pPr>
    </w:p>
    <w:p w:rsidR="00EB0E31" w:rsidRDefault="00EB0E31" w:rsidP="00EB0E31">
      <w:pPr>
        <w:spacing w:line="199" w:lineRule="exact"/>
        <w:rPr>
          <w:rFonts w:ascii="Times New Roman" w:eastAsia="Times New Roman" w:hAnsi="Times New Roman"/>
        </w:rPr>
      </w:pPr>
    </w:p>
    <w:p w:rsidR="00EB0E31" w:rsidRDefault="00EB0E31" w:rsidP="00EB0E31">
      <w:pPr>
        <w:spacing w:line="0" w:lineRule="atLeast"/>
        <w:ind w:right="-21"/>
        <w:jc w:val="center"/>
        <w:rPr>
          <w:rFonts w:ascii="Times New Roman" w:eastAsia="Times New Roman" w:hAnsi="Times New Roman"/>
        </w:rPr>
      </w:pPr>
      <w:r>
        <w:rPr>
          <w:rFonts w:ascii="Times New Roman" w:eastAsia="Times New Roman" w:hAnsi="Times New Roman"/>
        </w:rPr>
        <w:t>58</w:t>
      </w:r>
    </w:p>
    <w:p w:rsidR="00EB0E31" w:rsidRDefault="00EB0E31" w:rsidP="00EB0E31">
      <w:pPr>
        <w:rPr>
          <w:rFonts w:ascii="Times New Roman" w:eastAsia="Times New Roman" w:hAnsi="Times New Roman"/>
        </w:rPr>
        <w:sectPr w:rsidR="00EB0E31">
          <w:type w:val="continuous"/>
          <w:pgSz w:w="11900" w:h="16838"/>
          <w:pgMar w:top="1112" w:right="1425" w:bottom="211" w:left="1418" w:header="0" w:footer="0" w:gutter="0"/>
          <w:cols w:space="720"/>
        </w:sectPr>
      </w:pPr>
    </w:p>
    <w:p w:rsidR="00EB0E31" w:rsidRDefault="00EB0E31" w:rsidP="00EB0E31">
      <w:pPr>
        <w:spacing w:line="0" w:lineRule="atLeast"/>
        <w:ind w:left="2"/>
        <w:rPr>
          <w:rFonts w:ascii="Times New Roman" w:eastAsia="Times New Roman" w:hAnsi="Times New Roman"/>
          <w:sz w:val="22"/>
        </w:rPr>
      </w:pPr>
      <w:bookmarkStart w:id="3" w:name="page59"/>
      <w:bookmarkEnd w:id="3"/>
      <w:r>
        <w:rPr>
          <w:rFonts w:ascii="Times New Roman" w:eastAsia="Times New Roman" w:hAnsi="Times New Roman"/>
          <w:sz w:val="22"/>
        </w:rPr>
        <w:lastRenderedPageBreak/>
        <w:t>Turite kreiptis į savo gydytoją, jeigu pasireiškia šis šalutinis poveikis:</w:t>
      </w:r>
    </w:p>
    <w:p w:rsidR="00EB0E31" w:rsidRDefault="00EB0E31" w:rsidP="00EB0E31">
      <w:pPr>
        <w:spacing w:line="13" w:lineRule="exact"/>
        <w:rPr>
          <w:rFonts w:ascii="Times New Roman" w:eastAsia="Times New Roman" w:hAnsi="Times New Roman"/>
        </w:rPr>
      </w:pPr>
    </w:p>
    <w:p w:rsidR="00EB0E31" w:rsidRDefault="00EB0E31" w:rsidP="00EB0E31">
      <w:pPr>
        <w:numPr>
          <w:ilvl w:val="0"/>
          <w:numId w:val="13"/>
        </w:numPr>
        <w:tabs>
          <w:tab w:val="left" w:pos="562"/>
        </w:tabs>
        <w:spacing w:line="0" w:lineRule="atLeast"/>
        <w:ind w:left="562" w:hanging="562"/>
        <w:rPr>
          <w:rFonts w:ascii="Symbol" w:eastAsia="Symbol" w:hAnsi="Symbol"/>
          <w:sz w:val="22"/>
        </w:rPr>
      </w:pPr>
      <w:proofErr w:type="gramStart"/>
      <w:r>
        <w:rPr>
          <w:rFonts w:ascii="Times New Roman" w:eastAsia="Times New Roman" w:hAnsi="Times New Roman"/>
          <w:sz w:val="22"/>
        </w:rPr>
        <w:t>stiprus</w:t>
      </w:r>
      <w:proofErr w:type="gramEnd"/>
      <w:r>
        <w:rPr>
          <w:rFonts w:ascii="Times New Roman" w:eastAsia="Times New Roman" w:hAnsi="Times New Roman"/>
          <w:sz w:val="22"/>
        </w:rPr>
        <w:t xml:space="preserve"> sąnarių skausmas.</w:t>
      </w:r>
    </w:p>
    <w:p w:rsidR="00EB0E31" w:rsidRDefault="00EB0E31" w:rsidP="00EB0E31">
      <w:pPr>
        <w:spacing w:line="239"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Kai kuriems pacientams, vartojusiems Onglyza kartu su metforminu, pasireiškė šis šalutinis poveikis:</w:t>
      </w:r>
    </w:p>
    <w:p w:rsidR="00EB0E31" w:rsidRDefault="00EB0E31" w:rsidP="00EB0E31">
      <w:pPr>
        <w:spacing w:line="13" w:lineRule="exact"/>
        <w:rPr>
          <w:rFonts w:ascii="Times New Roman" w:eastAsia="Times New Roman" w:hAnsi="Times New Roman"/>
        </w:rPr>
      </w:pPr>
    </w:p>
    <w:p w:rsidR="00EB0E31" w:rsidRDefault="00EB0E31" w:rsidP="00EB0E31">
      <w:pPr>
        <w:numPr>
          <w:ilvl w:val="0"/>
          <w:numId w:val="14"/>
        </w:numPr>
        <w:tabs>
          <w:tab w:val="left" w:pos="562"/>
        </w:tabs>
        <w:spacing w:line="242" w:lineRule="auto"/>
        <w:ind w:left="562" w:hanging="562"/>
        <w:rPr>
          <w:rFonts w:ascii="Symbol" w:eastAsia="Symbol" w:hAnsi="Symbol"/>
          <w:sz w:val="22"/>
        </w:rPr>
      </w:pPr>
      <w:r>
        <w:rPr>
          <w:rFonts w:ascii="Times New Roman" w:eastAsia="Times New Roman" w:hAnsi="Times New Roman"/>
          <w:sz w:val="22"/>
        </w:rPr>
        <w:t>dažnas (gali paveikti nuo 1 iki 10 žmonių iš 100): viršutinės krūtinės ląstos dalies organų ar plaučių infekcija, šlapimo takų infekcija, skrandžio ar žarnų uždegimas, dažniausiai dėl infekcijos (gastroenteritas), pridėtinių nosies ančių infekcija su skausmo ir pilnumo už skruostų ir akių pojūčiu (sinusitas), nosies ar gerklės uždegimas (nazofaringitas), kurio požymiai gali būti peršalimas ar gerklės perštėjimas, galvos skausmas, raumenų skausmas (mialgija), vėmimas, skrandžio uždegimas (gastritas), pilvo skausmas ir nevirškinimas (dispepsija);</w:t>
      </w:r>
    </w:p>
    <w:p w:rsidR="00EB0E31" w:rsidRDefault="00EB0E31" w:rsidP="00EB0E31">
      <w:pPr>
        <w:numPr>
          <w:ilvl w:val="0"/>
          <w:numId w:val="14"/>
        </w:numPr>
        <w:tabs>
          <w:tab w:val="left" w:pos="562"/>
        </w:tabs>
        <w:spacing w:line="237" w:lineRule="auto"/>
        <w:ind w:left="562" w:right="180" w:hanging="562"/>
        <w:rPr>
          <w:rFonts w:ascii="Symbol" w:eastAsia="Symbol" w:hAnsi="Symbol"/>
          <w:sz w:val="22"/>
        </w:rPr>
      </w:pPr>
      <w:proofErr w:type="gramStart"/>
      <w:r>
        <w:rPr>
          <w:rFonts w:ascii="Times New Roman" w:eastAsia="Times New Roman" w:hAnsi="Times New Roman"/>
          <w:sz w:val="22"/>
        </w:rPr>
        <w:t>nedažnas</w:t>
      </w:r>
      <w:proofErr w:type="gramEnd"/>
      <w:r>
        <w:rPr>
          <w:rFonts w:ascii="Times New Roman" w:eastAsia="Times New Roman" w:hAnsi="Times New Roman"/>
          <w:sz w:val="22"/>
        </w:rPr>
        <w:t xml:space="preserve"> (gali paveikti nuo 1 iki 10 žmonių iš 1000): sąnarių skausmas (artralgija) ir erekcijos pasireiškimo ar išlaikymo sutrikimas (erekcijos disfunkcija).</w:t>
      </w:r>
    </w:p>
    <w:p w:rsidR="00EB0E31" w:rsidRDefault="00EB0E31" w:rsidP="00EB0E31">
      <w:pPr>
        <w:spacing w:line="220" w:lineRule="exact"/>
        <w:rPr>
          <w:rFonts w:ascii="Times New Roman" w:eastAsia="Times New Roman" w:hAnsi="Times New Roman"/>
        </w:rPr>
      </w:pPr>
    </w:p>
    <w:p w:rsidR="00EB0E31" w:rsidRDefault="00EB0E31" w:rsidP="00EB0E31">
      <w:pPr>
        <w:spacing w:line="244" w:lineRule="auto"/>
        <w:ind w:left="2" w:right="400"/>
        <w:rPr>
          <w:rFonts w:ascii="Times New Roman" w:eastAsia="Times New Roman" w:hAnsi="Times New Roman"/>
          <w:sz w:val="22"/>
        </w:rPr>
      </w:pPr>
      <w:r>
        <w:rPr>
          <w:rFonts w:ascii="Times New Roman" w:eastAsia="Times New Roman" w:hAnsi="Times New Roman"/>
          <w:sz w:val="22"/>
        </w:rPr>
        <w:t>Kai kuriems pacientams, vartojusiems Onglyza kartu su sulfonilkarbamidu, pasireiškė šis šalutinis poveikis:</w:t>
      </w:r>
    </w:p>
    <w:p w:rsidR="00EB0E31" w:rsidRDefault="00EB0E31" w:rsidP="00EB0E31">
      <w:pPr>
        <w:spacing w:line="2" w:lineRule="exact"/>
        <w:rPr>
          <w:rFonts w:ascii="Times New Roman" w:eastAsia="Times New Roman" w:hAnsi="Times New Roman"/>
        </w:rPr>
      </w:pPr>
    </w:p>
    <w:p w:rsidR="00EB0E31" w:rsidRDefault="00EB0E31" w:rsidP="00EB0E31">
      <w:pPr>
        <w:numPr>
          <w:ilvl w:val="0"/>
          <w:numId w:val="15"/>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labai dažnas: cukraus kiekio kraujyje sumažėjimas (hipoglikemija);</w:t>
      </w:r>
    </w:p>
    <w:p w:rsidR="00EB0E31" w:rsidRDefault="00EB0E31" w:rsidP="00EB0E31">
      <w:pPr>
        <w:spacing w:line="17" w:lineRule="exact"/>
        <w:rPr>
          <w:rFonts w:ascii="Symbol" w:eastAsia="Symbol" w:hAnsi="Symbol"/>
          <w:sz w:val="22"/>
        </w:rPr>
      </w:pPr>
    </w:p>
    <w:p w:rsidR="00EB0E31" w:rsidRDefault="00EB0E31" w:rsidP="00EB0E31">
      <w:pPr>
        <w:numPr>
          <w:ilvl w:val="0"/>
          <w:numId w:val="15"/>
        </w:numPr>
        <w:tabs>
          <w:tab w:val="left" w:pos="562"/>
        </w:tabs>
        <w:spacing w:line="0" w:lineRule="atLeast"/>
        <w:ind w:left="562" w:right="140" w:hanging="562"/>
        <w:rPr>
          <w:rFonts w:ascii="Symbol" w:eastAsia="Symbol" w:hAnsi="Symbol"/>
          <w:sz w:val="22"/>
        </w:rPr>
      </w:pPr>
      <w:r>
        <w:rPr>
          <w:rFonts w:ascii="Times New Roman" w:eastAsia="Times New Roman" w:hAnsi="Times New Roman"/>
          <w:sz w:val="22"/>
        </w:rPr>
        <w:t>dažnas: viršutinės krūtinės ląstos dalies organų ar plaučių infekcija, šlapimo takų infekcija, skrandžio ar žarnų uždegimas, dažniausiai dėl infekcijos (gastroenteritas), pridėtinių nosies ančių infekcija su skausmo ir pilnumo už skruostų ir akių pojūčiu (sinusitas), galvos skausmas, pilvo skausmas ir vėmimas;</w:t>
      </w:r>
    </w:p>
    <w:p w:rsidR="00EB0E31" w:rsidRDefault="00EB0E31" w:rsidP="00EB0E31">
      <w:pPr>
        <w:spacing w:line="1" w:lineRule="exact"/>
        <w:rPr>
          <w:rFonts w:ascii="Symbol" w:eastAsia="Symbol" w:hAnsi="Symbol"/>
          <w:sz w:val="22"/>
        </w:rPr>
      </w:pPr>
    </w:p>
    <w:p w:rsidR="00EB0E31" w:rsidRDefault="00EB0E31" w:rsidP="00EB0E31">
      <w:pPr>
        <w:numPr>
          <w:ilvl w:val="0"/>
          <w:numId w:val="15"/>
        </w:numPr>
        <w:tabs>
          <w:tab w:val="left" w:pos="562"/>
        </w:tabs>
        <w:spacing w:line="237" w:lineRule="auto"/>
        <w:ind w:left="562" w:right="1040" w:hanging="562"/>
        <w:rPr>
          <w:rFonts w:ascii="Symbol" w:eastAsia="Symbol" w:hAnsi="Symbol"/>
          <w:sz w:val="22"/>
        </w:rPr>
      </w:pPr>
      <w:proofErr w:type="gramStart"/>
      <w:r>
        <w:rPr>
          <w:rFonts w:ascii="Times New Roman" w:eastAsia="Times New Roman" w:hAnsi="Times New Roman"/>
          <w:sz w:val="22"/>
        </w:rPr>
        <w:t>nedažnas</w:t>
      </w:r>
      <w:proofErr w:type="gramEnd"/>
      <w:r>
        <w:rPr>
          <w:rFonts w:ascii="Times New Roman" w:eastAsia="Times New Roman" w:hAnsi="Times New Roman"/>
          <w:sz w:val="22"/>
        </w:rPr>
        <w:t>: nuovargis, nenormali lipidų (riebalų rūgščių) koncentracija (dislipidemija, hipertrigliceridemija).</w:t>
      </w:r>
    </w:p>
    <w:p w:rsidR="00EB0E31" w:rsidRDefault="00EB0E31" w:rsidP="00EB0E31">
      <w:pPr>
        <w:spacing w:line="220" w:lineRule="exact"/>
        <w:rPr>
          <w:rFonts w:ascii="Times New Roman" w:eastAsia="Times New Roman" w:hAnsi="Times New Roman"/>
        </w:rPr>
      </w:pPr>
    </w:p>
    <w:p w:rsidR="00EB0E31" w:rsidRDefault="00EB0E31" w:rsidP="00EB0E31">
      <w:pPr>
        <w:spacing w:line="244" w:lineRule="auto"/>
        <w:ind w:left="2" w:right="580"/>
        <w:rPr>
          <w:rFonts w:ascii="Times New Roman" w:eastAsia="Times New Roman" w:hAnsi="Times New Roman"/>
          <w:sz w:val="22"/>
        </w:rPr>
      </w:pPr>
      <w:r>
        <w:rPr>
          <w:rFonts w:ascii="Times New Roman" w:eastAsia="Times New Roman" w:hAnsi="Times New Roman"/>
          <w:sz w:val="22"/>
        </w:rPr>
        <w:t>Kai kuriems pacientams, vartojusiems Onglyza kartu su tiazolidinedionu, pasireiškė šis šalutinis poveikis:</w:t>
      </w:r>
    </w:p>
    <w:p w:rsidR="00EB0E31" w:rsidRDefault="00EB0E31" w:rsidP="00EB0E31">
      <w:pPr>
        <w:spacing w:line="2" w:lineRule="exact"/>
        <w:rPr>
          <w:rFonts w:ascii="Times New Roman" w:eastAsia="Times New Roman" w:hAnsi="Times New Roman"/>
        </w:rPr>
      </w:pPr>
    </w:p>
    <w:p w:rsidR="00EB0E31" w:rsidRDefault="00EB0E31" w:rsidP="00EB0E31">
      <w:pPr>
        <w:numPr>
          <w:ilvl w:val="0"/>
          <w:numId w:val="16"/>
        </w:numPr>
        <w:tabs>
          <w:tab w:val="left" w:pos="562"/>
        </w:tabs>
        <w:spacing w:line="244" w:lineRule="auto"/>
        <w:ind w:left="562" w:right="140" w:hanging="562"/>
        <w:rPr>
          <w:rFonts w:ascii="Symbol" w:eastAsia="Symbol" w:hAnsi="Symbol"/>
          <w:sz w:val="22"/>
        </w:rPr>
      </w:pPr>
      <w:r>
        <w:rPr>
          <w:rFonts w:ascii="Times New Roman" w:eastAsia="Times New Roman" w:hAnsi="Times New Roman"/>
          <w:sz w:val="22"/>
        </w:rPr>
        <w:t>dažnas: viršutinės krūtinės ląstos dalies organų ar plaučių infekcija, šlapimo takų infekcija, skrandžio ar žarnų uždegimas, dažniausiai dėl infekcijos (gastroenteritas), pridėtinių nosies ančių infekcija su skausmo ir pilnumo už skruostų ir akių pojūčiu (sinusitas), galvos skausmas, vėmimas, pilvo skausmas ir plaštakų, kulkšnių ar pėdų patinimas (periferinė edema).</w:t>
      </w:r>
    </w:p>
    <w:p w:rsidR="00EB0E31" w:rsidRDefault="00EB0E31" w:rsidP="00EB0E31">
      <w:pPr>
        <w:spacing w:line="215" w:lineRule="exact"/>
        <w:rPr>
          <w:rFonts w:ascii="Times New Roman" w:eastAsia="Times New Roman" w:hAnsi="Times New Roman"/>
        </w:rPr>
      </w:pPr>
    </w:p>
    <w:p w:rsidR="00EB0E31" w:rsidRDefault="00EB0E31" w:rsidP="00EB0E31">
      <w:pPr>
        <w:spacing w:line="242" w:lineRule="auto"/>
        <w:ind w:left="2" w:right="200"/>
        <w:rPr>
          <w:rFonts w:ascii="Times New Roman" w:eastAsia="Times New Roman" w:hAnsi="Times New Roman"/>
          <w:sz w:val="22"/>
        </w:rPr>
      </w:pPr>
      <w:r>
        <w:rPr>
          <w:rFonts w:ascii="Times New Roman" w:eastAsia="Times New Roman" w:hAnsi="Times New Roman"/>
          <w:sz w:val="22"/>
        </w:rPr>
        <w:t>Kai kuriems pacientams, vartojusiems Onglyza kartu su metforminu ir sulfonilkarbamidu, pasireiškė šis šalutinis poveikis:</w:t>
      </w:r>
    </w:p>
    <w:p w:rsidR="00EB0E31" w:rsidRDefault="00EB0E31" w:rsidP="00EB0E31">
      <w:pPr>
        <w:spacing w:line="2" w:lineRule="exact"/>
        <w:rPr>
          <w:rFonts w:ascii="Times New Roman" w:eastAsia="Times New Roman" w:hAnsi="Times New Roman"/>
        </w:rPr>
      </w:pPr>
    </w:p>
    <w:p w:rsidR="00EB0E31" w:rsidRDefault="00EB0E31" w:rsidP="00EB0E31">
      <w:pPr>
        <w:numPr>
          <w:ilvl w:val="0"/>
          <w:numId w:val="17"/>
        </w:numPr>
        <w:tabs>
          <w:tab w:val="left" w:pos="562"/>
        </w:tabs>
        <w:spacing w:line="0" w:lineRule="atLeast"/>
        <w:ind w:left="562" w:hanging="562"/>
        <w:rPr>
          <w:rFonts w:ascii="Symbol" w:eastAsia="Symbol" w:hAnsi="Symbol"/>
          <w:sz w:val="22"/>
        </w:rPr>
      </w:pPr>
      <w:proofErr w:type="gramStart"/>
      <w:r>
        <w:rPr>
          <w:rFonts w:ascii="Times New Roman" w:eastAsia="Times New Roman" w:hAnsi="Times New Roman"/>
          <w:sz w:val="22"/>
        </w:rPr>
        <w:t>dažnas</w:t>
      </w:r>
      <w:proofErr w:type="gramEnd"/>
      <w:r>
        <w:rPr>
          <w:rFonts w:ascii="Times New Roman" w:eastAsia="Times New Roman" w:hAnsi="Times New Roman"/>
          <w:sz w:val="22"/>
        </w:rPr>
        <w:t>: galvos svaigimas, nuovargis, pilvo skausmas ir dujų išėjimas.</w:t>
      </w:r>
    </w:p>
    <w:p w:rsidR="00EB0E31" w:rsidRDefault="00EB0E31" w:rsidP="00EB0E31">
      <w:pPr>
        <w:spacing w:line="234"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proofErr w:type="gramStart"/>
      <w:r>
        <w:rPr>
          <w:rFonts w:ascii="Times New Roman" w:eastAsia="Times New Roman" w:hAnsi="Times New Roman"/>
          <w:sz w:val="22"/>
        </w:rPr>
        <w:t>Kai kuriems pacientams, vartojusiems tik Onglyza, dar pasireiškė toks šalutinis poveikis.</w:t>
      </w:r>
      <w:proofErr w:type="gramEnd"/>
    </w:p>
    <w:p w:rsidR="00EB0E31" w:rsidRDefault="00EB0E31" w:rsidP="00EB0E31">
      <w:pPr>
        <w:spacing w:line="9" w:lineRule="exact"/>
        <w:rPr>
          <w:rFonts w:ascii="Times New Roman" w:eastAsia="Times New Roman" w:hAnsi="Times New Roman"/>
        </w:rPr>
      </w:pPr>
    </w:p>
    <w:p w:rsidR="00EB0E31" w:rsidRDefault="00EB0E31" w:rsidP="00EB0E31">
      <w:pPr>
        <w:numPr>
          <w:ilvl w:val="0"/>
          <w:numId w:val="18"/>
        </w:numPr>
        <w:tabs>
          <w:tab w:val="left" w:pos="562"/>
        </w:tabs>
        <w:spacing w:line="0" w:lineRule="atLeast"/>
        <w:ind w:left="562" w:hanging="562"/>
        <w:rPr>
          <w:rFonts w:ascii="Symbol" w:eastAsia="Symbol" w:hAnsi="Symbol"/>
          <w:sz w:val="22"/>
        </w:rPr>
      </w:pPr>
      <w:proofErr w:type="gramStart"/>
      <w:r>
        <w:rPr>
          <w:rFonts w:ascii="Times New Roman" w:eastAsia="Times New Roman" w:hAnsi="Times New Roman"/>
          <w:sz w:val="22"/>
        </w:rPr>
        <w:t>dažnas</w:t>
      </w:r>
      <w:proofErr w:type="gramEnd"/>
      <w:r>
        <w:rPr>
          <w:rFonts w:ascii="Times New Roman" w:eastAsia="Times New Roman" w:hAnsi="Times New Roman"/>
          <w:sz w:val="22"/>
        </w:rPr>
        <w:t>: galvos svaigimas, viduriavimas ir pilvo skausmas.</w:t>
      </w:r>
    </w:p>
    <w:p w:rsidR="00EB0E31" w:rsidRDefault="00EB0E31" w:rsidP="00EB0E31">
      <w:pPr>
        <w:spacing w:line="234" w:lineRule="exact"/>
        <w:rPr>
          <w:rFonts w:ascii="Times New Roman" w:eastAsia="Times New Roman" w:hAnsi="Times New Roman"/>
        </w:rPr>
      </w:pPr>
    </w:p>
    <w:p w:rsidR="00EB0E31" w:rsidRDefault="00EB0E31" w:rsidP="00EB0E31">
      <w:pPr>
        <w:spacing w:line="292" w:lineRule="auto"/>
        <w:ind w:left="2" w:right="560"/>
        <w:rPr>
          <w:rFonts w:ascii="Times New Roman" w:eastAsia="Times New Roman" w:hAnsi="Times New Roman"/>
          <w:sz w:val="21"/>
        </w:rPr>
      </w:pPr>
      <w:r>
        <w:rPr>
          <w:rFonts w:ascii="Times New Roman" w:eastAsia="Times New Roman" w:hAnsi="Times New Roman"/>
          <w:sz w:val="21"/>
        </w:rPr>
        <w:t>Kai kuriems pacientams, vartojusiems Onglyza atskirai arba su kitais vaistais, užkietėjo viduriai, tačiau šio šalutinio poveikio dažnis nežinomas (</w:t>
      </w:r>
      <w:proofErr w:type="gramStart"/>
      <w:r>
        <w:rPr>
          <w:rFonts w:ascii="Times New Roman" w:eastAsia="Times New Roman" w:hAnsi="Times New Roman"/>
          <w:sz w:val="21"/>
        </w:rPr>
        <w:t>jo</w:t>
      </w:r>
      <w:proofErr w:type="gramEnd"/>
      <w:r>
        <w:rPr>
          <w:rFonts w:ascii="Times New Roman" w:eastAsia="Times New Roman" w:hAnsi="Times New Roman"/>
          <w:sz w:val="21"/>
        </w:rPr>
        <w:t xml:space="preserve"> negalima nustatyti pagal turimus duomenis).</w:t>
      </w:r>
    </w:p>
    <w:p w:rsidR="00EB0E31" w:rsidRDefault="00EB0E31" w:rsidP="00EB0E31">
      <w:pPr>
        <w:spacing w:line="165" w:lineRule="exact"/>
        <w:rPr>
          <w:rFonts w:ascii="Times New Roman" w:eastAsia="Times New Roman" w:hAnsi="Times New Roman"/>
        </w:rPr>
      </w:pPr>
    </w:p>
    <w:p w:rsidR="00EB0E31" w:rsidRDefault="00EB0E31" w:rsidP="00EB0E31">
      <w:pPr>
        <w:spacing w:line="271" w:lineRule="auto"/>
        <w:ind w:left="2" w:right="200"/>
        <w:rPr>
          <w:rFonts w:ascii="Times New Roman" w:eastAsia="Times New Roman" w:hAnsi="Times New Roman"/>
          <w:sz w:val="22"/>
        </w:rPr>
      </w:pPr>
      <w:proofErr w:type="gramStart"/>
      <w:r>
        <w:rPr>
          <w:rFonts w:ascii="Times New Roman" w:eastAsia="Times New Roman" w:hAnsi="Times New Roman"/>
          <w:sz w:val="22"/>
        </w:rPr>
        <w:t>Kai kurių pacientų, vartojusių Onglyza atskirai arba su kitais vaistais, kraujo tyrimas parodė nežymų vienos rūšies baltųjų kraujo kūnelių (limfocitų) kiekio sumažėjimą.</w:t>
      </w:r>
      <w:proofErr w:type="gramEnd"/>
    </w:p>
    <w:p w:rsidR="00EB0E31" w:rsidRDefault="00EB0E31" w:rsidP="00EB0E31">
      <w:pPr>
        <w:spacing w:line="184"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Pranešimas apie šalutinį poveikį</w:t>
      </w:r>
    </w:p>
    <w:p w:rsidR="00EB0E31" w:rsidRDefault="00EB0E31" w:rsidP="00EB0E31">
      <w:pPr>
        <w:spacing w:line="25" w:lineRule="exact"/>
        <w:rPr>
          <w:rFonts w:ascii="Times New Roman" w:eastAsia="Times New Roman" w:hAnsi="Times New Roman"/>
        </w:rPr>
      </w:pPr>
    </w:p>
    <w:p w:rsidR="00EB0E31" w:rsidRDefault="00EB0E31" w:rsidP="00EB0E31">
      <w:pPr>
        <w:spacing w:line="0" w:lineRule="atLeast"/>
        <w:ind w:left="2" w:right="460"/>
        <w:rPr>
          <w:rFonts w:ascii="Times New Roman" w:eastAsia="Times New Roman" w:hAnsi="Times New Roman"/>
          <w:sz w:val="22"/>
        </w:rPr>
      </w:pPr>
      <w:proofErr w:type="gramStart"/>
      <w:r>
        <w:rPr>
          <w:rFonts w:ascii="Times New Roman" w:eastAsia="Times New Roman" w:hAnsi="Times New Roman"/>
          <w:sz w:val="22"/>
        </w:rPr>
        <w:t>Jeigu pasireiškė šalutinis poveikis, įskaitant šiame lapelyje nenurodytą, pasakykite gydytojui, vaistininkui arba slaugytojai.</w:t>
      </w:r>
      <w:proofErr w:type="gramEnd"/>
      <w:r>
        <w:rPr>
          <w:rFonts w:ascii="Times New Roman" w:eastAsia="Times New Roman" w:hAnsi="Times New Roman"/>
          <w:sz w:val="22"/>
        </w:rPr>
        <w:t xml:space="preserve"> Apie šalutinį poveikį taip pat galite pranešti tiesiogiai naudodamiesi</w:t>
      </w:r>
    </w:p>
    <w:p w:rsidR="00EB0E31" w:rsidRDefault="00EB0E31" w:rsidP="00EB0E31">
      <w:pPr>
        <w:spacing w:line="247" w:lineRule="auto"/>
        <w:ind w:left="2"/>
        <w:rPr>
          <w:rFonts w:ascii="Times New Roman" w:eastAsia="Times New Roman" w:hAnsi="Times New Roman"/>
          <w:color w:val="000000"/>
          <w:sz w:val="22"/>
        </w:rPr>
      </w:pPr>
      <w:hyperlink r:id="rId6" w:history="1">
        <w:proofErr w:type="gramStart"/>
        <w:r>
          <w:rPr>
            <w:rStyle w:val="Hyperlink"/>
            <w:rFonts w:ascii="Times New Roman" w:eastAsia="Times New Roman" w:hAnsi="Times New Roman"/>
            <w:sz w:val="22"/>
            <w:highlight w:val="lightGray"/>
            <w:u w:val="none"/>
          </w:rPr>
          <w:t xml:space="preserve">V priede </w:t>
        </w:r>
      </w:hyperlink>
      <w:r>
        <w:rPr>
          <w:rFonts w:ascii="Times New Roman" w:eastAsia="Times New Roman" w:hAnsi="Times New Roman"/>
          <w:color w:val="000000"/>
          <w:sz w:val="22"/>
          <w:highlight w:val="lightGray"/>
        </w:rPr>
        <w:t>nurodyta</w:t>
      </w:r>
      <w:r>
        <w:rPr>
          <w:rFonts w:ascii="Times New Roman" w:eastAsia="Times New Roman" w:hAnsi="Times New Roman"/>
          <w:color w:val="0000FF"/>
          <w:sz w:val="22"/>
          <w:highlight w:val="lightGray"/>
        </w:rPr>
        <w:t xml:space="preserve"> </w:t>
      </w:r>
      <w:r>
        <w:rPr>
          <w:rFonts w:ascii="Times New Roman" w:eastAsia="Times New Roman" w:hAnsi="Times New Roman"/>
          <w:color w:val="000000"/>
          <w:sz w:val="22"/>
          <w:highlight w:val="lightGray"/>
        </w:rPr>
        <w:t>nacionaline pranešimo sistema.</w:t>
      </w:r>
      <w:proofErr w:type="gramEnd"/>
      <w:r>
        <w:rPr>
          <w:rFonts w:ascii="Times New Roman" w:eastAsia="Times New Roman" w:hAnsi="Times New Roman"/>
          <w:color w:val="0000FF"/>
          <w:sz w:val="22"/>
          <w:highlight w:val="lightGray"/>
        </w:rPr>
        <w:t xml:space="preserve"> </w:t>
      </w:r>
      <w:r>
        <w:rPr>
          <w:rFonts w:ascii="Times New Roman" w:eastAsia="Times New Roman" w:hAnsi="Times New Roman"/>
          <w:color w:val="000000"/>
          <w:sz w:val="22"/>
        </w:rPr>
        <w:t>Pranešdami apie šalutinį poveikį galite mums padėti</w:t>
      </w:r>
      <w:r>
        <w:rPr>
          <w:rFonts w:ascii="Times New Roman" w:eastAsia="Times New Roman" w:hAnsi="Times New Roman"/>
          <w:color w:val="0000FF"/>
          <w:sz w:val="22"/>
          <w:highlight w:val="lightGray"/>
        </w:rPr>
        <w:t xml:space="preserve"> </w:t>
      </w:r>
      <w:r>
        <w:rPr>
          <w:rFonts w:ascii="Times New Roman" w:eastAsia="Times New Roman" w:hAnsi="Times New Roman"/>
          <w:color w:val="000000"/>
          <w:sz w:val="22"/>
        </w:rPr>
        <w:t>gauti daugiau informacijos apie šio vaisto saugumą.</w:t>
      </w:r>
    </w:p>
    <w:p w:rsidR="00EB0E31" w:rsidRDefault="00EB0E31" w:rsidP="00EB0E31">
      <w:pPr>
        <w:spacing w:line="20" w:lineRule="exact"/>
        <w:rPr>
          <w:rFonts w:ascii="Times New Roman" w:eastAsia="Times New Roman" w:hAnsi="Times New Roman"/>
        </w:rPr>
      </w:pPr>
      <w:r>
        <w:rPr>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-188595</wp:posOffset>
                </wp:positionV>
                <wp:extent cx="485775"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3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KA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" strokeweight=".48pt"/>
            </w:pict>
          </mc:Fallback>
        </mc:AlternateContent>
      </w:r>
    </w:p>
    <w:p w:rsidR="00EB0E31" w:rsidRDefault="00EB0E31" w:rsidP="00EB0E31">
      <w:pPr>
        <w:spacing w:line="192" w:lineRule="exact"/>
        <w:rPr>
          <w:rFonts w:ascii="Times New Roman" w:eastAsia="Times New Roman" w:hAnsi="Times New Roman"/>
        </w:rPr>
      </w:pPr>
    </w:p>
    <w:p w:rsidR="00EB0E31" w:rsidRDefault="00EB0E31" w:rsidP="00EB0E31">
      <w:pPr>
        <w:numPr>
          <w:ilvl w:val="0"/>
          <w:numId w:val="19"/>
        </w:numPr>
        <w:tabs>
          <w:tab w:val="left" w:pos="542"/>
        </w:tabs>
        <w:spacing w:line="0" w:lineRule="atLeast"/>
        <w:ind w:left="542" w:hanging="542"/>
        <w:rPr>
          <w:rFonts w:ascii="Times New Roman" w:eastAsia="Times New Roman" w:hAnsi="Times New Roman"/>
          <w:b/>
          <w:sz w:val="22"/>
        </w:rPr>
      </w:pPr>
      <w:r>
        <w:rPr>
          <w:rFonts w:ascii="Times New Roman" w:eastAsia="Times New Roman" w:hAnsi="Times New Roman"/>
          <w:b/>
          <w:sz w:val="22"/>
        </w:rPr>
        <w:t>Kaip laikyti Onglyza</w:t>
      </w:r>
    </w:p>
    <w:p w:rsidR="00EB0E31" w:rsidRDefault="00EB0E31" w:rsidP="00EB0E31">
      <w:pPr>
        <w:spacing w:line="253"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proofErr w:type="gramStart"/>
      <w:r>
        <w:rPr>
          <w:rFonts w:ascii="Times New Roman" w:eastAsia="Times New Roman" w:hAnsi="Times New Roman"/>
          <w:sz w:val="22"/>
        </w:rPr>
        <w:t>Šį vaistą laikykite vaikams nepastebimoje ir nepasiekiamoje vietoje.</w:t>
      </w:r>
      <w:proofErr w:type="gramEnd"/>
    </w:p>
    <w:p w:rsidR="00EB0E31" w:rsidRDefault="00EB0E31" w:rsidP="00EB0E31">
      <w:pPr>
        <w:spacing w:line="251" w:lineRule="exact"/>
        <w:rPr>
          <w:rFonts w:ascii="Times New Roman" w:eastAsia="Times New Roman" w:hAnsi="Times New Roman"/>
        </w:rPr>
      </w:pPr>
    </w:p>
    <w:p w:rsidR="00EB0E31" w:rsidRDefault="00EB0E31" w:rsidP="00EB0E31">
      <w:pPr>
        <w:spacing w:line="271" w:lineRule="auto"/>
        <w:ind w:left="2" w:right="380"/>
        <w:rPr>
          <w:rFonts w:ascii="Times New Roman" w:eastAsia="Times New Roman" w:hAnsi="Times New Roman"/>
          <w:sz w:val="22"/>
        </w:rPr>
      </w:pPr>
      <w:r>
        <w:rPr>
          <w:rFonts w:ascii="Times New Roman" w:eastAsia="Times New Roman" w:hAnsi="Times New Roman"/>
          <w:sz w:val="22"/>
        </w:rPr>
        <w:t>Ant lizdinės plokštelės ir dėžutės po „EXP/Tinka iki</w:t>
      </w:r>
      <w:proofErr w:type="gramStart"/>
      <w:r>
        <w:rPr>
          <w:rFonts w:ascii="Times New Roman" w:eastAsia="Times New Roman" w:hAnsi="Times New Roman"/>
          <w:sz w:val="22"/>
        </w:rPr>
        <w:t>“ nurodytam</w:t>
      </w:r>
      <w:proofErr w:type="gramEnd"/>
      <w:r>
        <w:rPr>
          <w:rFonts w:ascii="Times New Roman" w:eastAsia="Times New Roman" w:hAnsi="Times New Roman"/>
          <w:sz w:val="22"/>
        </w:rPr>
        <w:t xml:space="preserve"> tinkamumo laikui pasibaigus, šio vaisto vartoti negalima. </w:t>
      </w:r>
      <w:proofErr w:type="gramStart"/>
      <w:r>
        <w:rPr>
          <w:rFonts w:ascii="Times New Roman" w:eastAsia="Times New Roman" w:hAnsi="Times New Roman"/>
          <w:sz w:val="22"/>
        </w:rPr>
        <w:t>Vaistas tinkamas vartoti iki paskutinės nurodyto mėnesio dienos.</w:t>
      </w:r>
      <w:proofErr w:type="gramEnd"/>
    </w:p>
    <w:p w:rsidR="00EB0E31" w:rsidRDefault="00EB0E31" w:rsidP="00EB0E31">
      <w:pPr>
        <w:spacing w:line="271" w:lineRule="auto"/>
        <w:rPr>
          <w:rFonts w:ascii="Times New Roman" w:eastAsia="Times New Roman" w:hAnsi="Times New Roman"/>
          <w:sz w:val="22"/>
        </w:rPr>
        <w:sectPr w:rsidR="00EB0E31">
          <w:pgSz w:w="11900" w:h="16838"/>
          <w:pgMar w:top="1367" w:right="1425" w:bottom="211" w:left="1418" w:header="0" w:footer="0" w:gutter="0"/>
          <w:cols w:space="720"/>
        </w:sectPr>
      </w:pPr>
    </w:p>
    <w:p w:rsidR="00EB0E31" w:rsidRDefault="00EB0E31" w:rsidP="00EB0E31">
      <w:pPr>
        <w:spacing w:line="358" w:lineRule="exact"/>
        <w:rPr>
          <w:rFonts w:ascii="Times New Roman" w:eastAsia="Times New Roman" w:hAnsi="Times New Roman"/>
        </w:rPr>
      </w:pPr>
    </w:p>
    <w:p w:rsidR="00EB0E31" w:rsidRDefault="00EB0E31" w:rsidP="00EB0E31">
      <w:pPr>
        <w:spacing w:line="0" w:lineRule="atLeast"/>
        <w:ind w:right="-21"/>
        <w:jc w:val="center"/>
        <w:rPr>
          <w:rFonts w:ascii="Times New Roman" w:eastAsia="Times New Roman" w:hAnsi="Times New Roman"/>
        </w:rPr>
      </w:pPr>
      <w:r>
        <w:rPr>
          <w:rFonts w:ascii="Times New Roman" w:eastAsia="Times New Roman" w:hAnsi="Times New Roman"/>
        </w:rPr>
        <w:t>59</w:t>
      </w:r>
    </w:p>
    <w:p w:rsidR="00EB0E31" w:rsidRDefault="00EB0E31" w:rsidP="00EB0E31">
      <w:pPr>
        <w:rPr>
          <w:rFonts w:ascii="Times New Roman" w:eastAsia="Times New Roman" w:hAnsi="Times New Roman"/>
        </w:rPr>
        <w:sectPr w:rsidR="00EB0E31">
          <w:type w:val="continuous"/>
          <w:pgSz w:w="11900" w:h="16838"/>
          <w:pgMar w:top="1367" w:right="1425" w:bottom="211" w:left="1418" w:header="0" w:footer="0" w:gutter="0"/>
          <w:cols w:space="720"/>
        </w:sectPr>
      </w:pPr>
    </w:p>
    <w:p w:rsidR="00EB0E31" w:rsidRDefault="00EB0E31" w:rsidP="00EB0E31">
      <w:pPr>
        <w:spacing w:line="0" w:lineRule="atLeast"/>
        <w:ind w:left="2"/>
        <w:rPr>
          <w:rFonts w:ascii="Times New Roman" w:eastAsia="Times New Roman" w:hAnsi="Times New Roman"/>
          <w:sz w:val="22"/>
        </w:rPr>
      </w:pPr>
      <w:bookmarkStart w:id="4" w:name="page60"/>
      <w:bookmarkEnd w:id="4"/>
      <w:proofErr w:type="gramStart"/>
      <w:r>
        <w:rPr>
          <w:rFonts w:ascii="Times New Roman" w:eastAsia="Times New Roman" w:hAnsi="Times New Roman"/>
          <w:sz w:val="22"/>
        </w:rPr>
        <w:lastRenderedPageBreak/>
        <w:t>Šiam vaistiniam preparatui specialių laikymo sąlygų nereikia.</w:t>
      </w:r>
      <w:proofErr w:type="gramEnd"/>
    </w:p>
    <w:p w:rsidR="00EB0E31" w:rsidRDefault="00EB0E31" w:rsidP="00EB0E31">
      <w:pPr>
        <w:spacing w:line="253"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proofErr w:type="gramStart"/>
      <w:r>
        <w:rPr>
          <w:rFonts w:ascii="Times New Roman" w:eastAsia="Times New Roman" w:hAnsi="Times New Roman"/>
          <w:sz w:val="22"/>
        </w:rPr>
        <w:t>Nevartokite šio vaisto, jeigu pakuotė yra pažeista arba sugadinta.</w:t>
      </w:r>
      <w:proofErr w:type="gramEnd"/>
    </w:p>
    <w:p w:rsidR="00EB0E31" w:rsidRDefault="00EB0E31" w:rsidP="00EB0E31">
      <w:pPr>
        <w:spacing w:line="253" w:lineRule="exact"/>
        <w:rPr>
          <w:rFonts w:ascii="Times New Roman" w:eastAsia="Times New Roman" w:hAnsi="Times New Roman"/>
        </w:rPr>
      </w:pPr>
    </w:p>
    <w:p w:rsidR="00EB0E31" w:rsidRDefault="00EB0E31" w:rsidP="00EB0E31">
      <w:pPr>
        <w:spacing w:line="271" w:lineRule="auto"/>
        <w:ind w:left="2" w:right="605"/>
        <w:rPr>
          <w:rFonts w:ascii="Times New Roman" w:eastAsia="Times New Roman" w:hAnsi="Times New Roman"/>
          <w:sz w:val="22"/>
        </w:rPr>
      </w:pPr>
      <w:proofErr w:type="gramStart"/>
      <w:r>
        <w:rPr>
          <w:rFonts w:ascii="Times New Roman" w:eastAsia="Times New Roman" w:hAnsi="Times New Roman"/>
          <w:sz w:val="22"/>
        </w:rPr>
        <w:t>Vaistų negalima išmesti į kanalizaciją arba su buitinėmis atliekomis.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Kaip išmesti nereikalingus vaistus, klauskite vaistininko.</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Šios priemonės padės apsaugoti aplinką.</w:t>
      </w:r>
      <w:proofErr w:type="gramEnd"/>
    </w:p>
    <w:p w:rsidR="00EB0E31" w:rsidRDefault="00EB0E31" w:rsidP="00EB0E31">
      <w:pPr>
        <w:spacing w:line="200" w:lineRule="exact"/>
        <w:rPr>
          <w:rFonts w:ascii="Times New Roman" w:eastAsia="Times New Roman" w:hAnsi="Times New Roman"/>
        </w:rPr>
      </w:pPr>
    </w:p>
    <w:p w:rsidR="00EB0E31" w:rsidRDefault="00EB0E31" w:rsidP="00EB0E31">
      <w:pPr>
        <w:spacing w:line="238" w:lineRule="exact"/>
        <w:rPr>
          <w:rFonts w:ascii="Times New Roman" w:eastAsia="Times New Roman" w:hAnsi="Times New Roman"/>
        </w:rPr>
      </w:pPr>
    </w:p>
    <w:p w:rsidR="00EB0E31" w:rsidRDefault="00EB0E31" w:rsidP="00EB0E31">
      <w:pPr>
        <w:numPr>
          <w:ilvl w:val="0"/>
          <w:numId w:val="20"/>
        </w:numPr>
        <w:tabs>
          <w:tab w:val="left" w:pos="542"/>
        </w:tabs>
        <w:spacing w:line="0" w:lineRule="atLeast"/>
        <w:ind w:left="542" w:hanging="542"/>
        <w:rPr>
          <w:rFonts w:ascii="Times New Roman" w:eastAsia="Times New Roman" w:hAnsi="Times New Roman"/>
          <w:b/>
          <w:sz w:val="22"/>
        </w:rPr>
      </w:pPr>
      <w:r>
        <w:rPr>
          <w:rFonts w:ascii="Times New Roman" w:eastAsia="Times New Roman" w:hAnsi="Times New Roman"/>
          <w:b/>
          <w:sz w:val="22"/>
        </w:rPr>
        <w:t>Pakuotės turinys ir kita informacija</w:t>
      </w:r>
    </w:p>
    <w:p w:rsidR="00EB0E31" w:rsidRDefault="00EB0E31" w:rsidP="00EB0E31">
      <w:pPr>
        <w:spacing w:line="253"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Onglyza sudėtis</w:t>
      </w:r>
    </w:p>
    <w:p w:rsidR="00EB0E31" w:rsidRDefault="00EB0E31" w:rsidP="00EB0E31">
      <w:pPr>
        <w:spacing w:line="22" w:lineRule="exact"/>
        <w:rPr>
          <w:rFonts w:ascii="Times New Roman" w:eastAsia="Times New Roman" w:hAnsi="Times New Roman"/>
        </w:rPr>
      </w:pPr>
    </w:p>
    <w:p w:rsidR="00EB0E31" w:rsidRDefault="00EB0E31" w:rsidP="00EB0E31">
      <w:pPr>
        <w:spacing w:line="247" w:lineRule="auto"/>
        <w:ind w:left="2" w:right="185"/>
        <w:rPr>
          <w:rFonts w:ascii="Times New Roman" w:eastAsia="Times New Roman" w:hAnsi="Times New Roman"/>
          <w:sz w:val="22"/>
        </w:rPr>
      </w:pPr>
      <w:proofErr w:type="gramStart"/>
      <w:r>
        <w:rPr>
          <w:rFonts w:ascii="Times New Roman" w:eastAsia="Times New Roman" w:hAnsi="Times New Roman"/>
          <w:sz w:val="22"/>
        </w:rPr>
        <w:t>Veiklioji medžiaga yra saksagliptinas.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Kiekvienoje plėvele dengtoje tabletėje yra 5 mg saksagliptino (hidrochlorido pavidalu).</w:t>
      </w:r>
      <w:proofErr w:type="gramEnd"/>
    </w:p>
    <w:p w:rsidR="00EB0E31" w:rsidRDefault="00EB0E31" w:rsidP="00EB0E31">
      <w:pPr>
        <w:spacing w:line="200" w:lineRule="exact"/>
        <w:rPr>
          <w:rFonts w:ascii="Times New Roman" w:eastAsia="Times New Roman" w:hAnsi="Times New Roman"/>
        </w:rPr>
      </w:pPr>
    </w:p>
    <w:p w:rsidR="00EB0E31" w:rsidRDefault="00EB0E31" w:rsidP="00EB0E31">
      <w:pPr>
        <w:spacing w:line="266"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Pagalbinės medžiagos:</w:t>
      </w:r>
    </w:p>
    <w:p w:rsidR="00EB0E31" w:rsidRDefault="00EB0E31" w:rsidP="00EB0E31">
      <w:pPr>
        <w:spacing w:line="13" w:lineRule="exact"/>
        <w:rPr>
          <w:rFonts w:ascii="Times New Roman" w:eastAsia="Times New Roman" w:hAnsi="Times New Roman"/>
        </w:rPr>
      </w:pPr>
    </w:p>
    <w:p w:rsidR="00EB0E31" w:rsidRDefault="00EB0E31" w:rsidP="00EB0E31">
      <w:pPr>
        <w:numPr>
          <w:ilvl w:val="0"/>
          <w:numId w:val="21"/>
        </w:numPr>
        <w:tabs>
          <w:tab w:val="left" w:pos="562"/>
        </w:tabs>
        <w:spacing w:line="247" w:lineRule="auto"/>
        <w:ind w:left="562" w:right="525" w:hanging="562"/>
        <w:rPr>
          <w:rFonts w:ascii="Symbol" w:eastAsia="Symbol" w:hAnsi="Symbol"/>
          <w:sz w:val="22"/>
        </w:rPr>
      </w:pPr>
      <w:r>
        <w:rPr>
          <w:rFonts w:ascii="Times New Roman" w:eastAsia="Times New Roman" w:hAnsi="Times New Roman"/>
          <w:sz w:val="22"/>
        </w:rPr>
        <w:t>Tabletės šerdis: laktozė monohidratas, mikrokristalinė celiuliozė (E460i), kroskarmeliozės natrio druska (E468), magnio stearatas.</w:t>
      </w:r>
    </w:p>
    <w:p w:rsidR="00EB0E31" w:rsidRDefault="00EB0E31" w:rsidP="00EB0E31">
      <w:pPr>
        <w:spacing w:line="1" w:lineRule="exact"/>
        <w:rPr>
          <w:rFonts w:ascii="Symbol" w:eastAsia="Symbol" w:hAnsi="Symbol"/>
          <w:sz w:val="22"/>
        </w:rPr>
      </w:pPr>
    </w:p>
    <w:p w:rsidR="00EB0E31" w:rsidRDefault="00EB0E31" w:rsidP="00EB0E31">
      <w:pPr>
        <w:numPr>
          <w:ilvl w:val="0"/>
          <w:numId w:val="21"/>
        </w:numPr>
        <w:tabs>
          <w:tab w:val="left" w:pos="562"/>
        </w:tabs>
        <w:spacing w:line="237" w:lineRule="auto"/>
        <w:ind w:left="562" w:right="545" w:hanging="562"/>
        <w:rPr>
          <w:rFonts w:ascii="Symbol" w:eastAsia="Symbol" w:hAnsi="Symbol"/>
          <w:sz w:val="22"/>
        </w:rPr>
      </w:pPr>
      <w:r>
        <w:rPr>
          <w:rFonts w:ascii="Times New Roman" w:eastAsia="Times New Roman" w:hAnsi="Times New Roman"/>
          <w:sz w:val="22"/>
        </w:rPr>
        <w:t xml:space="preserve">Plėvelė: polivinilo alkoholis, makrogolis 3350, titano dioksidas (E171), talkas (E553b) </w:t>
      </w:r>
      <w:proofErr w:type="gramStart"/>
      <w:r>
        <w:rPr>
          <w:rFonts w:ascii="Times New Roman" w:eastAsia="Times New Roman" w:hAnsi="Times New Roman"/>
          <w:sz w:val="22"/>
        </w:rPr>
        <w:t>ir .</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raudonasis</w:t>
      </w:r>
      <w:proofErr w:type="gramEnd"/>
      <w:r>
        <w:rPr>
          <w:rFonts w:ascii="Times New Roman" w:eastAsia="Times New Roman" w:hAnsi="Times New Roman"/>
          <w:sz w:val="22"/>
        </w:rPr>
        <w:t xml:space="preserve"> geležies oksidas (E172).</w:t>
      </w:r>
    </w:p>
    <w:p w:rsidR="00EB0E31" w:rsidRDefault="00EB0E31" w:rsidP="00EB0E31">
      <w:pPr>
        <w:numPr>
          <w:ilvl w:val="0"/>
          <w:numId w:val="21"/>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Spausdinimo rašalas: šelakas ir indigokarminas aliuminio dažiklis (E132).</w:t>
      </w:r>
    </w:p>
    <w:p w:rsidR="00EB0E31" w:rsidRDefault="00EB0E31" w:rsidP="00EB0E31">
      <w:pPr>
        <w:spacing w:line="220"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Onglyza išvaizda ir kiekis pakuotėje</w:t>
      </w:r>
    </w:p>
    <w:p w:rsidR="00EB0E31" w:rsidRDefault="00EB0E31" w:rsidP="00EB0E31">
      <w:pPr>
        <w:spacing w:line="267" w:lineRule="exact"/>
        <w:rPr>
          <w:rFonts w:ascii="Times New Roman" w:eastAsia="Times New Roman" w:hAnsi="Times New Roman"/>
        </w:rPr>
      </w:pPr>
    </w:p>
    <w:p w:rsidR="00EB0E31" w:rsidRDefault="00EB0E31" w:rsidP="00EB0E31">
      <w:pPr>
        <w:numPr>
          <w:ilvl w:val="0"/>
          <w:numId w:val="22"/>
        </w:numPr>
        <w:tabs>
          <w:tab w:val="left" w:pos="562"/>
        </w:tabs>
        <w:spacing w:line="256" w:lineRule="auto"/>
        <w:ind w:left="562" w:right="205" w:hanging="562"/>
        <w:rPr>
          <w:rFonts w:ascii="Symbol" w:eastAsia="Symbol" w:hAnsi="Symbol"/>
          <w:sz w:val="22"/>
        </w:rPr>
      </w:pPr>
      <w:r>
        <w:rPr>
          <w:rFonts w:ascii="Times New Roman" w:eastAsia="Times New Roman" w:hAnsi="Times New Roman"/>
          <w:sz w:val="22"/>
        </w:rPr>
        <w:t>5 mg plėvele dengtos tabletės yra rožinės, abipus išgaubtos, apvalios, vienoje pusėje mėlynais dažais paženklintos „5“, kitoje – „4215“.</w:t>
      </w:r>
    </w:p>
    <w:p w:rsidR="00EB0E31" w:rsidRDefault="00EB0E31" w:rsidP="00EB0E31">
      <w:pPr>
        <w:spacing w:line="215" w:lineRule="exact"/>
        <w:rPr>
          <w:rFonts w:ascii="Symbol" w:eastAsia="Symbol" w:hAnsi="Symbol"/>
          <w:sz w:val="22"/>
        </w:rPr>
      </w:pPr>
    </w:p>
    <w:p w:rsidR="00EB0E31" w:rsidRDefault="00EB0E31" w:rsidP="00EB0E31">
      <w:pPr>
        <w:numPr>
          <w:ilvl w:val="0"/>
          <w:numId w:val="22"/>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Tabletės tiekiamos aliumininės folijos lizdinėse plokštelėse.</w:t>
      </w:r>
    </w:p>
    <w:p w:rsidR="00EB0E31" w:rsidRDefault="00EB0E31" w:rsidP="00EB0E31">
      <w:pPr>
        <w:spacing w:line="17" w:lineRule="exact"/>
        <w:rPr>
          <w:rFonts w:ascii="Symbol" w:eastAsia="Symbol" w:hAnsi="Symbol"/>
          <w:sz w:val="22"/>
        </w:rPr>
      </w:pPr>
    </w:p>
    <w:p w:rsidR="00EB0E31" w:rsidRDefault="00EB0E31" w:rsidP="00EB0E31">
      <w:pPr>
        <w:numPr>
          <w:ilvl w:val="0"/>
          <w:numId w:val="22"/>
        </w:numPr>
        <w:tabs>
          <w:tab w:val="left" w:pos="562"/>
        </w:tabs>
        <w:spacing w:line="0" w:lineRule="atLeast"/>
        <w:ind w:left="562" w:right="25" w:hanging="562"/>
        <w:rPr>
          <w:rFonts w:ascii="Symbol" w:eastAsia="Symbol" w:hAnsi="Symbol"/>
          <w:sz w:val="22"/>
        </w:rPr>
      </w:pPr>
      <w:r>
        <w:rPr>
          <w:rFonts w:ascii="Times New Roman" w:eastAsia="Times New Roman" w:hAnsi="Times New Roman"/>
          <w:sz w:val="22"/>
        </w:rPr>
        <w:t>5 mg tablečių pakuotėje yra 14, 28, 56 arba 98 plėvele dengtos tabletės neperforuotose lizdinėse plokštelėse, 14, 28, 56 arba 98 plėvele dengtos tabletės neperforuotose kalendorinėse lizdinėse plokštelėse, 30x1 arba 90x1 plėvele dengtų tablečių dalomosiose perforuotose lizdinėse plokštelėse.</w:t>
      </w:r>
    </w:p>
    <w:p w:rsidR="00EB0E31" w:rsidRDefault="00EB0E31" w:rsidP="00EB0E31">
      <w:pPr>
        <w:spacing w:line="218"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proofErr w:type="gramStart"/>
      <w:r>
        <w:rPr>
          <w:rFonts w:ascii="Times New Roman" w:eastAsia="Times New Roman" w:hAnsi="Times New Roman"/>
          <w:sz w:val="22"/>
        </w:rPr>
        <w:t>Gali būti tiekiamos ne visų dydžių pakuotės į Jūsų šalį.</w:t>
      </w:r>
      <w:proofErr w:type="gramEnd"/>
    </w:p>
    <w:p w:rsidR="00EB0E31" w:rsidRDefault="00EB0E31" w:rsidP="00EB0E31">
      <w:pPr>
        <w:spacing w:line="254"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Registruotojas</w:t>
      </w:r>
    </w:p>
    <w:p w:rsidR="00EB0E31" w:rsidRDefault="00EB0E31" w:rsidP="00EB0E31">
      <w:pPr>
        <w:spacing w:line="24"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AstraZeneca AB</w:t>
      </w: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SE-151 85 Södertälje</w:t>
      </w: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Švedija</w:t>
      </w:r>
    </w:p>
    <w:p w:rsidR="00EB0E31" w:rsidRDefault="00EB0E31" w:rsidP="00EB0E31">
      <w:pPr>
        <w:spacing w:line="230"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b/>
          <w:sz w:val="22"/>
        </w:rPr>
      </w:pPr>
      <w:r>
        <w:rPr>
          <w:rFonts w:ascii="Times New Roman" w:eastAsia="Times New Roman" w:hAnsi="Times New Roman"/>
          <w:b/>
          <w:sz w:val="22"/>
        </w:rPr>
        <w:t>Gamintojas</w:t>
      </w:r>
    </w:p>
    <w:p w:rsidR="00EB0E31" w:rsidRDefault="00EB0E31" w:rsidP="00EB0E31">
      <w:pPr>
        <w:spacing w:line="24"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AstraZeneca GmbH</w:t>
      </w: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Tinsdaler Weg 183</w:t>
      </w: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22880 Wedel</w:t>
      </w: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Vokietija</w:t>
      </w:r>
    </w:p>
    <w:p w:rsidR="00EB0E31" w:rsidRDefault="00EB0E31" w:rsidP="00EB0E31">
      <w:pPr>
        <w:spacing w:line="359"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AstraZeneca UK Limited</w:t>
      </w:r>
    </w:p>
    <w:p w:rsidR="00EB0E31" w:rsidRDefault="00EB0E31" w:rsidP="00EB0E31">
      <w:pPr>
        <w:spacing w:line="23"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Silk Road Business Park</w:t>
      </w: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Macclesfield</w:t>
      </w: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Cheshire</w:t>
      </w: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SK10 2NA</w:t>
      </w: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Jungtinė Karalystė</w:t>
      </w:r>
    </w:p>
    <w:p w:rsidR="00EB0E31" w:rsidRDefault="00EB0E31" w:rsidP="00EB0E31">
      <w:pPr>
        <w:spacing w:line="229"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Bristol-Myers Squibb Company</w:t>
      </w:r>
    </w:p>
    <w:p w:rsidR="00EB0E31" w:rsidRDefault="00EB0E31" w:rsidP="00EB0E31">
      <w:pPr>
        <w:spacing w:line="23"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 xml:space="preserve">Contrada Fontana </w:t>
      </w:r>
      <w:proofErr w:type="gramStart"/>
      <w:r>
        <w:rPr>
          <w:rFonts w:ascii="Times New Roman" w:eastAsia="Times New Roman" w:hAnsi="Times New Roman"/>
          <w:sz w:val="22"/>
        </w:rPr>
        <w:t>del</w:t>
      </w:r>
      <w:proofErr w:type="gramEnd"/>
      <w:r>
        <w:rPr>
          <w:rFonts w:ascii="Times New Roman" w:eastAsia="Times New Roman" w:hAnsi="Times New Roman"/>
          <w:sz w:val="22"/>
        </w:rPr>
        <w:t xml:space="preserve"> Ceraso</w:t>
      </w:r>
    </w:p>
    <w:p w:rsidR="00EB0E31" w:rsidRDefault="00EB0E31" w:rsidP="00EB0E31">
      <w:pPr>
        <w:spacing w:line="1" w:lineRule="exact"/>
        <w:rPr>
          <w:rFonts w:ascii="Times New Roman" w:eastAsia="Times New Roman" w:hAnsi="Times New Roman"/>
        </w:rPr>
      </w:pPr>
    </w:p>
    <w:p w:rsidR="00EB0E31" w:rsidRDefault="00EB0E31" w:rsidP="00EB0E31">
      <w:pPr>
        <w:spacing w:line="0" w:lineRule="atLeast"/>
        <w:ind w:left="2"/>
        <w:rPr>
          <w:rFonts w:ascii="Times New Roman" w:eastAsia="Times New Roman" w:hAnsi="Times New Roman"/>
          <w:sz w:val="22"/>
        </w:rPr>
      </w:pPr>
      <w:r>
        <w:rPr>
          <w:rFonts w:ascii="Times New Roman" w:eastAsia="Times New Roman" w:hAnsi="Times New Roman"/>
          <w:sz w:val="22"/>
        </w:rPr>
        <w:t>IT-03012 Anagni (FR)</w:t>
      </w:r>
    </w:p>
    <w:p w:rsidR="00EB0E31" w:rsidRDefault="00EB0E31" w:rsidP="00EB0E31">
      <w:pPr>
        <w:rPr>
          <w:rFonts w:ascii="Times New Roman" w:eastAsia="Times New Roman" w:hAnsi="Times New Roman"/>
          <w:sz w:val="22"/>
        </w:rPr>
        <w:sectPr w:rsidR="00EB0E31">
          <w:pgSz w:w="11900" w:h="16838"/>
          <w:pgMar w:top="1112" w:right="1440" w:bottom="211" w:left="1418" w:header="0" w:footer="0" w:gutter="0"/>
          <w:cols w:space="720"/>
        </w:sectPr>
      </w:pPr>
    </w:p>
    <w:p w:rsidR="00EB0E31" w:rsidRDefault="00EB0E31" w:rsidP="00EB0E31">
      <w:pPr>
        <w:spacing w:line="301" w:lineRule="exact"/>
        <w:rPr>
          <w:rFonts w:ascii="Times New Roman" w:eastAsia="Times New Roman" w:hAnsi="Times New Roman"/>
        </w:rPr>
      </w:pPr>
    </w:p>
    <w:p w:rsidR="00EB0E31" w:rsidRDefault="00EB0E31" w:rsidP="00EB0E31">
      <w:pPr>
        <w:spacing w:line="0" w:lineRule="atLeast"/>
        <w:ind w:right="-35"/>
        <w:jc w:val="center"/>
        <w:rPr>
          <w:rFonts w:ascii="Times New Roman" w:eastAsia="Times New Roman" w:hAnsi="Times New Roman"/>
        </w:rPr>
      </w:pPr>
      <w:r>
        <w:rPr>
          <w:rFonts w:ascii="Times New Roman" w:eastAsia="Times New Roman" w:hAnsi="Times New Roman"/>
        </w:rPr>
        <w:t>60</w:t>
      </w:r>
    </w:p>
    <w:p w:rsidR="00EB0E31" w:rsidRDefault="00EB0E31" w:rsidP="00EB0E31">
      <w:pPr>
        <w:rPr>
          <w:rFonts w:ascii="Times New Roman" w:eastAsia="Times New Roman" w:hAnsi="Times New Roman"/>
        </w:rPr>
        <w:sectPr w:rsidR="00EB0E31">
          <w:type w:val="continuous"/>
          <w:pgSz w:w="11900" w:h="16838"/>
          <w:pgMar w:top="1112" w:right="1440" w:bottom="211" w:left="1418" w:header="0" w:footer="0" w:gutter="0"/>
          <w:cols w:space="720"/>
        </w:sectPr>
      </w:pPr>
    </w:p>
    <w:p w:rsidR="00EB0E31" w:rsidRDefault="00EB0E31" w:rsidP="00EB0E31">
      <w:pPr>
        <w:spacing w:line="0" w:lineRule="atLeast"/>
        <w:rPr>
          <w:rFonts w:ascii="Times New Roman" w:eastAsia="Times New Roman" w:hAnsi="Times New Roman"/>
          <w:sz w:val="22"/>
        </w:rPr>
      </w:pPr>
      <w:bookmarkStart w:id="5" w:name="page61"/>
      <w:bookmarkEnd w:id="5"/>
      <w:r>
        <w:rPr>
          <w:rFonts w:ascii="Times New Roman" w:eastAsia="Times New Roman" w:hAnsi="Times New Roman"/>
          <w:sz w:val="22"/>
        </w:rPr>
        <w:lastRenderedPageBreak/>
        <w:t>Italija</w:t>
      </w:r>
    </w:p>
    <w:p w:rsidR="00EB0E31" w:rsidRDefault="00EB0E31" w:rsidP="00EB0E31">
      <w:pPr>
        <w:spacing w:line="253" w:lineRule="exact"/>
        <w:rPr>
          <w:rFonts w:ascii="Times New Roman" w:eastAsia="Times New Roman" w:hAnsi="Times New Roman"/>
        </w:rPr>
      </w:pPr>
    </w:p>
    <w:p w:rsidR="00EB0E31" w:rsidRDefault="00EB0E31" w:rsidP="00EB0E31">
      <w:pPr>
        <w:spacing w:line="0" w:lineRule="atLeast"/>
        <w:rPr>
          <w:rFonts w:ascii="Times New Roman" w:eastAsia="Times New Roman" w:hAnsi="Times New Roman"/>
          <w:sz w:val="21"/>
        </w:rPr>
      </w:pPr>
      <w:proofErr w:type="gramStart"/>
      <w:r>
        <w:rPr>
          <w:rFonts w:ascii="Times New Roman" w:eastAsia="Times New Roman" w:hAnsi="Times New Roman"/>
          <w:sz w:val="21"/>
        </w:rPr>
        <w:t>Jeigu apie šį vaistą norite sužinoti daugiau, kreipkitės į vietinį registruotojo atstovą.</w:t>
      </w:r>
      <w:proofErr w:type="gramEnd"/>
    </w:p>
    <w:p w:rsidR="00EB0E31" w:rsidRDefault="00EB0E31" w:rsidP="00EB0E31">
      <w:pPr>
        <w:rPr>
          <w:rFonts w:ascii="Times New Roman" w:eastAsia="Times New Roman" w:hAnsi="Times New Roman"/>
          <w:sz w:val="21"/>
        </w:rPr>
        <w:sectPr w:rsidR="00EB0E31">
          <w:pgSz w:w="11900" w:h="16838"/>
          <w:pgMar w:top="1112" w:right="1440" w:bottom="211" w:left="1420" w:header="0" w:footer="0" w:gutter="0"/>
          <w:cols w:space="720"/>
        </w:sectPr>
      </w:pPr>
    </w:p>
    <w:p w:rsidR="00C40A4D" w:rsidRDefault="00C40A4D"/>
    <w:sectPr w:rsidR="00C40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C"/>
    <w:multiLevelType w:val="hybridMultilevel"/>
    <w:tmpl w:val="260D8C4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8D"/>
    <w:multiLevelType w:val="hybridMultilevel"/>
    <w:tmpl w:val="73D4D3C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8E"/>
    <w:multiLevelType w:val="hybridMultilevel"/>
    <w:tmpl w:val="746F2E3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8F"/>
    <w:multiLevelType w:val="hybridMultilevel"/>
    <w:tmpl w:val="6FDE8AF6"/>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90"/>
    <w:multiLevelType w:val="hybridMultilevel"/>
    <w:tmpl w:val="3FC32E2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91"/>
    <w:multiLevelType w:val="hybridMultilevel"/>
    <w:tmpl w:val="49C0E82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92"/>
    <w:multiLevelType w:val="hybridMultilevel"/>
    <w:tmpl w:val="14D5368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93"/>
    <w:multiLevelType w:val="hybridMultilevel"/>
    <w:tmpl w:val="230F856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94"/>
    <w:multiLevelType w:val="hybridMultilevel"/>
    <w:tmpl w:val="6EAA85F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95"/>
    <w:multiLevelType w:val="hybridMultilevel"/>
    <w:tmpl w:val="3F06ECB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96"/>
    <w:multiLevelType w:val="hybridMultilevel"/>
    <w:tmpl w:val="3B59480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97"/>
    <w:multiLevelType w:val="hybridMultilevel"/>
    <w:tmpl w:val="6CAA23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98"/>
    <w:multiLevelType w:val="hybridMultilevel"/>
    <w:tmpl w:val="3F7C2FF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99"/>
    <w:multiLevelType w:val="hybridMultilevel"/>
    <w:tmpl w:val="25413B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9A"/>
    <w:multiLevelType w:val="hybridMultilevel"/>
    <w:tmpl w:val="17180B0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9B"/>
    <w:multiLevelType w:val="hybridMultilevel"/>
    <w:tmpl w:val="579328B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9C"/>
    <w:multiLevelType w:val="hybridMultilevel"/>
    <w:tmpl w:val="5D205E2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9D"/>
    <w:multiLevelType w:val="hybridMultilevel"/>
    <w:tmpl w:val="11CCA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9E"/>
    <w:multiLevelType w:val="hybridMultilevel"/>
    <w:tmpl w:val="4D32AB86"/>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9F"/>
    <w:multiLevelType w:val="hybridMultilevel"/>
    <w:tmpl w:val="3F07ACC2"/>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A0"/>
    <w:multiLevelType w:val="hybridMultilevel"/>
    <w:tmpl w:val="6B47F6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A1"/>
    <w:multiLevelType w:val="hybridMultilevel"/>
    <w:tmpl w:val="5CB44A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startOverride w:val="3"/>
    </w:lvlOverride>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startOverride w:val="4"/>
    </w:lvlOverride>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18"/>
    <w:lvlOverride w:ilvl="0">
      <w:startOverride w:val="5"/>
    </w:lvlOverride>
    <w:lvlOverride w:ilvl="1"/>
    <w:lvlOverride w:ilvl="2"/>
    <w:lvlOverride w:ilvl="3"/>
    <w:lvlOverride w:ilvl="4"/>
    <w:lvlOverride w:ilvl="5"/>
    <w:lvlOverride w:ilvl="6"/>
    <w:lvlOverride w:ilvl="7"/>
    <w:lvlOverride w:ilvl="8"/>
  </w:num>
  <w:num w:numId="20">
    <w:abstractNumId w:val="19"/>
    <w:lvlOverride w:ilvl="0">
      <w:startOverride w:val="6"/>
    </w:lvlOverride>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31"/>
    <w:rsid w:val="00C40A4D"/>
    <w:rsid w:val="00EB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3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E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3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5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2018-08-10T06:52:00Z</dcterms:created>
  <dcterms:modified xsi:type="dcterms:W3CDTF">2018-08-10T06:52:00Z</dcterms:modified>
</cp:coreProperties>
</file>