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11" w:rsidRDefault="00702A11" w:rsidP="00702A1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r>
        <w:rPr>
          <w:rFonts w:ascii="Times New Roman" w:eastAsiaTheme="minorHAnsi" w:hAnsi="Times New Roman" w:cs="Times New Roman"/>
          <w:b/>
          <w:lang w:val="lt-LT" w:eastAsia="en-US"/>
        </w:rPr>
        <w:t>Pakuotės lapelis: informacija pacientui</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tabs>
          <w:tab w:val="left" w:pos="567"/>
        </w:tabs>
        <w:spacing w:after="0" w:line="240" w:lineRule="auto"/>
        <w:jc w:val="center"/>
        <w:rPr>
          <w:rFonts w:ascii="Times New Roman" w:eastAsiaTheme="minorHAnsi" w:hAnsi="Times New Roman" w:cs="Times New Roman"/>
          <w:b/>
          <w:lang w:val="lt-LT" w:eastAsia="en-US"/>
        </w:rPr>
      </w:pPr>
      <w:bookmarkStart w:id="0" w:name="_GoBack"/>
      <w:r>
        <w:rPr>
          <w:rFonts w:ascii="Times New Roman" w:eastAsiaTheme="minorHAnsi" w:hAnsi="Times New Roman" w:cs="Times New Roman"/>
          <w:b/>
          <w:lang w:val="lt-LT" w:eastAsia="en-US"/>
        </w:rPr>
        <w:t>Amoksiklav</w:t>
      </w:r>
      <w:bookmarkEnd w:id="0"/>
      <w:r>
        <w:rPr>
          <w:rFonts w:ascii="Times New Roman" w:eastAsiaTheme="minorHAnsi" w:hAnsi="Times New Roman" w:cs="Times New Roman"/>
          <w:b/>
          <w:lang w:val="lt-LT" w:eastAsia="en-US"/>
        </w:rPr>
        <w:t xml:space="preserve"> 500 mg/125 mg plėvele dengtos tabletės</w:t>
      </w:r>
    </w:p>
    <w:p w:rsidR="00702A11" w:rsidRDefault="00702A11" w:rsidP="00702A11">
      <w:pPr>
        <w:tabs>
          <w:tab w:val="left" w:pos="567"/>
        </w:tabs>
        <w:spacing w:after="0" w:line="240" w:lineRule="auto"/>
        <w:jc w:val="center"/>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Amoksiklav 875 mg/125 mg plėvele dengtos tabletės</w:t>
      </w:r>
    </w:p>
    <w:p w:rsidR="00702A11" w:rsidRDefault="00702A11" w:rsidP="00702A11">
      <w:pPr>
        <w:spacing w:after="0" w:line="240" w:lineRule="auto"/>
        <w:ind w:left="567" w:hanging="567"/>
        <w:jc w:val="center"/>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Amoksicilinas ir klavulano rūgštis</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Atidžiai perskaitykite visą šį lapelį, prieš pradėdami vartoti vaistą, nes jame pateikiama Jums svarbi informacija.</w:t>
      </w:r>
    </w:p>
    <w:p w:rsidR="00702A11" w:rsidRDefault="00702A11" w:rsidP="00702A11">
      <w:pPr>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w:t>
      </w:r>
      <w:r>
        <w:rPr>
          <w:rFonts w:ascii="Times New Roman" w:eastAsiaTheme="minorHAnsi" w:hAnsi="Times New Roman" w:cs="Times New Roman"/>
          <w:lang w:val="lt-LT" w:eastAsia="en-US"/>
        </w:rPr>
        <w:tab/>
        <w:t>Neišmeskite šio lapelio, nes vėl gali prireikti jį perskaityti.</w:t>
      </w:r>
    </w:p>
    <w:p w:rsidR="00702A11" w:rsidRDefault="00702A11" w:rsidP="00702A11">
      <w:pPr>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w:t>
      </w:r>
      <w:r>
        <w:rPr>
          <w:rFonts w:ascii="Times New Roman" w:eastAsiaTheme="minorHAnsi" w:hAnsi="Times New Roman" w:cs="Times New Roman"/>
          <w:lang w:val="lt-LT" w:eastAsia="en-US"/>
        </w:rPr>
        <w:tab/>
        <w:t>Jeigu kiltų daugiau klausimų, kreipkitės į gydytoją arba vaistininką.</w:t>
      </w:r>
    </w:p>
    <w:p w:rsidR="00702A11" w:rsidRDefault="00702A11" w:rsidP="00702A11">
      <w:pPr>
        <w:numPr>
          <w:ilvl w:val="0"/>
          <w:numId w:val="1"/>
        </w:numPr>
        <w:tabs>
          <w:tab w:val="left" w:pos="567"/>
        </w:tabs>
        <w:spacing w:after="0" w:line="260" w:lineRule="exact"/>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Šis vaistas skirtas tik Jums, todėl kitiems žmonėms jo duoti negalima. Vaistas gali jiems pakenkti (net tiems, kurių ligos požymiai yra tokie patys kaip Jūsų).</w:t>
      </w:r>
    </w:p>
    <w:p w:rsidR="00702A11" w:rsidRDefault="00702A11" w:rsidP="00702A11">
      <w:pPr>
        <w:numPr>
          <w:ilvl w:val="0"/>
          <w:numId w:val="1"/>
        </w:numPr>
        <w:tabs>
          <w:tab w:val="left" w:pos="567"/>
        </w:tabs>
        <w:spacing w:after="0" w:line="260" w:lineRule="exact"/>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pasireiškė šalutinis poveikis (net jeigu jis šiame lapelyje nenurodytas), kreipkitės į gydytoją arba vaistininką. Žr. 4 skyrių.</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Apie ką rašoma šiame lapelyje?</w:t>
      </w:r>
    </w:p>
    <w:p w:rsidR="00702A11" w:rsidRDefault="00702A11" w:rsidP="00702A11">
      <w:pPr>
        <w:spacing w:after="0" w:line="240" w:lineRule="auto"/>
        <w:rPr>
          <w:rFonts w:ascii="Times New Roman" w:eastAsiaTheme="minorHAnsi" w:hAnsi="Times New Roman" w:cs="Times New Roman"/>
          <w:b/>
          <w:lang w:val="lt-LT" w:eastAsia="en-US"/>
        </w:rPr>
      </w:pPr>
    </w:p>
    <w:p w:rsidR="00702A11" w:rsidRDefault="00702A11" w:rsidP="00702A11">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1.</w:t>
      </w:r>
      <w:r>
        <w:rPr>
          <w:rFonts w:ascii="Times New Roman" w:eastAsiaTheme="minorHAnsi" w:hAnsi="Times New Roman" w:cs="Times New Roman"/>
          <w:lang w:val="lt-LT" w:eastAsia="en-US"/>
        </w:rPr>
        <w:tab/>
        <w:t>Kas yra Amoksiklav ir kam jis vartojamas</w:t>
      </w:r>
    </w:p>
    <w:p w:rsidR="00702A11" w:rsidRDefault="00702A11" w:rsidP="00702A11">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2.</w:t>
      </w:r>
      <w:r>
        <w:rPr>
          <w:rFonts w:ascii="Times New Roman" w:eastAsiaTheme="minorHAnsi" w:hAnsi="Times New Roman" w:cs="Times New Roman"/>
          <w:lang w:val="lt-LT" w:eastAsia="en-US"/>
        </w:rPr>
        <w:tab/>
        <w:t>Kas žinotina prieš vartojant Amoksiklav</w:t>
      </w:r>
    </w:p>
    <w:p w:rsidR="00702A11" w:rsidRDefault="00702A11" w:rsidP="00702A11">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3.</w:t>
      </w:r>
      <w:r>
        <w:rPr>
          <w:rFonts w:ascii="Times New Roman" w:eastAsiaTheme="minorHAnsi" w:hAnsi="Times New Roman" w:cs="Times New Roman"/>
          <w:lang w:val="lt-LT" w:eastAsia="en-US"/>
        </w:rPr>
        <w:tab/>
        <w:t>Kaip vartoti Amoksiklav</w:t>
      </w:r>
    </w:p>
    <w:p w:rsidR="00702A11" w:rsidRDefault="00702A11" w:rsidP="00702A11">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4.</w:t>
      </w:r>
      <w:r>
        <w:rPr>
          <w:rFonts w:ascii="Times New Roman" w:eastAsiaTheme="minorHAnsi" w:hAnsi="Times New Roman" w:cs="Times New Roman"/>
          <w:lang w:val="lt-LT" w:eastAsia="en-US"/>
        </w:rPr>
        <w:tab/>
        <w:t>Galimas šalutinis poveikis</w:t>
      </w:r>
    </w:p>
    <w:p w:rsidR="00702A11" w:rsidRDefault="00702A11" w:rsidP="00702A11">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5.</w:t>
      </w:r>
      <w:r>
        <w:rPr>
          <w:rFonts w:ascii="Times New Roman" w:eastAsiaTheme="minorHAnsi" w:hAnsi="Times New Roman" w:cs="Times New Roman"/>
          <w:lang w:val="lt-LT" w:eastAsia="en-US"/>
        </w:rPr>
        <w:tab/>
        <w:t>Kaip laikyti Amoksiklav</w:t>
      </w:r>
    </w:p>
    <w:p w:rsidR="00702A11" w:rsidRDefault="00702A11" w:rsidP="00702A11">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6.</w:t>
      </w:r>
      <w:r>
        <w:rPr>
          <w:rFonts w:ascii="Times New Roman" w:eastAsiaTheme="minorHAnsi" w:hAnsi="Times New Roman" w:cs="Times New Roman"/>
          <w:lang w:val="lt-LT" w:eastAsia="en-US"/>
        </w:rPr>
        <w:tab/>
        <w:t>Pakuotės turinys ir kita informacija</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1" w:name="_Toc129243139"/>
      <w:bookmarkStart w:id="2" w:name="_Toc129243264"/>
      <w:r>
        <w:rPr>
          <w:rFonts w:ascii="Times New Roman" w:eastAsiaTheme="minorHAnsi" w:hAnsi="Times New Roman" w:cs="Times New Roman"/>
          <w:b/>
          <w:lang w:val="lt-LT" w:eastAsia="en-US"/>
        </w:rPr>
        <w:t>1.</w:t>
      </w:r>
      <w:r>
        <w:rPr>
          <w:rFonts w:ascii="Times New Roman" w:eastAsiaTheme="minorHAnsi" w:hAnsi="Times New Roman" w:cs="Times New Roman"/>
          <w:b/>
          <w:lang w:val="lt-LT" w:eastAsia="en-US"/>
        </w:rPr>
        <w:tab/>
        <w:t>Kas yra Amoksiklav ir kam jis vartojamas</w:t>
      </w:r>
      <w:bookmarkEnd w:id="1"/>
      <w:bookmarkEnd w:id="2"/>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yra antibiotikas, kuris naikina bakterijas, sukeliančias infekcines ligas. Vaisto sudėtyje yra du skirtingi vaistai: amoksicilinas ir klavulano rūgštis. Amoksicilinas priklauso vaistų, vadinamų penicilinais, grupei. Kartais šis vaistas gali neveikti (tapti neveiksmingu). Kita veiklioji medžiaga (klavulano rūgštis) neleidžia taip atsitikti.</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gydomos šios suaugusiųjų ir vaikų infekcinės ligos:</w:t>
      </w:r>
    </w:p>
    <w:p w:rsidR="00702A11" w:rsidRDefault="00702A11" w:rsidP="00702A11">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vidurinės ausies ir nosies ančių (sinusų) infekcinės ligos;</w:t>
      </w:r>
    </w:p>
    <w:p w:rsidR="00702A11" w:rsidRDefault="00702A11" w:rsidP="00702A11">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kvėpavimo takų infekcinės ligos;</w:t>
      </w:r>
    </w:p>
    <w:p w:rsidR="00702A11" w:rsidRDefault="00702A11" w:rsidP="00702A11">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šlapimo takų infekcinės ligos;</w:t>
      </w:r>
    </w:p>
    <w:p w:rsidR="00702A11" w:rsidRDefault="00702A11" w:rsidP="00702A11">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odos ir minkštųjų audinių infekcinės ligos;</w:t>
      </w:r>
    </w:p>
    <w:p w:rsidR="00702A11" w:rsidRDefault="00702A11" w:rsidP="00702A11">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dantų infekcinės ligos;</w:t>
      </w:r>
    </w:p>
    <w:p w:rsidR="00702A11" w:rsidRDefault="00702A11" w:rsidP="00702A11">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kaulų ir sąnarių infekcinės ligos.</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3" w:name="_Toc129243141"/>
      <w:bookmarkStart w:id="4" w:name="_Toc129243266"/>
      <w:r>
        <w:rPr>
          <w:rFonts w:ascii="Times New Roman" w:eastAsiaTheme="minorHAnsi" w:hAnsi="Times New Roman" w:cs="Times New Roman"/>
          <w:b/>
          <w:lang w:val="lt-LT" w:eastAsia="en-US"/>
        </w:rPr>
        <w:t>2.</w:t>
      </w:r>
      <w:r>
        <w:rPr>
          <w:rFonts w:ascii="Times New Roman" w:eastAsiaTheme="minorHAnsi" w:hAnsi="Times New Roman" w:cs="Times New Roman"/>
          <w:b/>
          <w:lang w:val="lt-LT" w:eastAsia="en-US"/>
        </w:rPr>
        <w:tab/>
        <w:t>Kas žinotina prieš vartojant Amoksiklav</w:t>
      </w:r>
      <w:r>
        <w:rPr>
          <w:rFonts w:ascii="Times New Roman" w:eastAsiaTheme="minorHAnsi" w:hAnsi="Times New Roman" w:cs="Times New Roman"/>
          <w:b/>
          <w:caps/>
          <w:lang w:val="lt-LT" w:eastAsia="en-US"/>
        </w:rPr>
        <w:t xml:space="preserve"> </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tabs>
          <w:tab w:val="left" w:pos="567"/>
        </w:tabs>
        <w:spacing w:after="0" w:line="220" w:lineRule="exact"/>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Amoksiklav vartoti negalima:</w:t>
      </w:r>
    </w:p>
    <w:p w:rsidR="00702A11" w:rsidRDefault="00702A11" w:rsidP="00702A11">
      <w:pPr>
        <w:numPr>
          <w:ilvl w:val="0"/>
          <w:numId w:val="3"/>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yra alergija veikliosioms medžiagoms arba bet kuriai pagalbinei šio vaisto medžiagai (jos išvardytos 6 skyriuje);</w:t>
      </w:r>
    </w:p>
    <w:p w:rsidR="00702A11" w:rsidRDefault="00702A11" w:rsidP="00702A11">
      <w:pPr>
        <w:numPr>
          <w:ilvl w:val="0"/>
          <w:numId w:val="3"/>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yra alergija penicilinui;</w:t>
      </w:r>
    </w:p>
    <w:p w:rsidR="00702A11" w:rsidRDefault="00702A11" w:rsidP="00702A11">
      <w:pPr>
        <w:numPr>
          <w:ilvl w:val="0"/>
          <w:numId w:val="3"/>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anksčiau pasireiškė sunki alerginė (padidėjusio jautrumo) reakcija bet kuriam kitam antibiotikui. Tokios reakcijos gali pasireikšti išbėrimu arba veido ar kaklo patinimu;</w:t>
      </w:r>
    </w:p>
    <w:p w:rsidR="00702A11" w:rsidRDefault="00702A11" w:rsidP="00702A11">
      <w:pPr>
        <w:numPr>
          <w:ilvl w:val="0"/>
          <w:numId w:val="3"/>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anksčiau vartojant antibiotikų, pasireiškė kepenų sutrikimas ar gelta (odos pageltimas).</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b/>
          <w:lang w:val="lt-LT" w:eastAsia="en-US"/>
        </w:rPr>
        <w:t>Jeigu yra anksčiau nurodytų aplinkybių, Amoksiklav vartoti negalima</w:t>
      </w:r>
      <w:r>
        <w:rPr>
          <w:rFonts w:ascii="Times New Roman" w:eastAsiaTheme="minorHAnsi" w:hAnsi="Times New Roman" w:cs="Times New Roman"/>
          <w:lang w:val="lt-LT" w:eastAsia="en-US"/>
        </w:rPr>
        <w:t>. Jeigu abejojate, pasitarkite su gydytoju arba vaistininku.</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Įspėjimai ir atsargumo priemonės</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Pasitarkite su gydytoju arba vaistininku prieš pradėdami vartoti Amoksiklav:</w:t>
      </w:r>
    </w:p>
    <w:p w:rsidR="00702A11" w:rsidRDefault="00702A11" w:rsidP="00702A11">
      <w:pPr>
        <w:numPr>
          <w:ilvl w:val="0"/>
          <w:numId w:val="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sergate infekcine mononukleoze (ūmine virusine infekcija, pasireiškiančia karščiavimu, gerklės skausmu ir limfmazgių padidėjimu);</w:t>
      </w:r>
    </w:p>
    <w:p w:rsidR="00702A11" w:rsidRDefault="00702A11" w:rsidP="00702A11">
      <w:pPr>
        <w:numPr>
          <w:ilvl w:val="0"/>
          <w:numId w:val="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gydotės dėl kepenų ar inkstų sutrikimų;</w:t>
      </w:r>
    </w:p>
    <w:p w:rsidR="00702A11" w:rsidRDefault="00702A11" w:rsidP="00702A11">
      <w:pPr>
        <w:numPr>
          <w:ilvl w:val="0"/>
          <w:numId w:val="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nereguliariai šlapinatės.</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abejojate, ar yra anksčiau nurodytų aplinkybių, pasitarkite su gydytoju arba vaistininku.</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Tam tikrais atvejais gydytojas gali ištirti, kokios rūšies bakterijos sukėlė infekcinę ligą. Atsižvelgdamas į tyrimo rezultatus, gydytojas gali skirti kitokio stiprumo Amoksiklav arba kitą vaistą.</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i/>
          <w:lang w:val="lt-LT" w:eastAsia="en-US"/>
        </w:rPr>
      </w:pPr>
      <w:r>
        <w:rPr>
          <w:rFonts w:ascii="Times New Roman" w:eastAsiaTheme="minorHAnsi" w:hAnsi="Times New Roman" w:cs="Times New Roman"/>
          <w:i/>
          <w:lang w:val="lt-LT" w:eastAsia="en-US"/>
        </w:rPr>
        <w:t>Būklės, kurių turite saugotis</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gali pasunkinti kai kurias esamas būkles arba sukelti sunkų šalutinį poveikį. Tokios būklės</w:t>
      </w:r>
      <w:r>
        <w:rPr>
          <w:rFonts w:ascii="Times New Roman" w:eastAsia="Times New Roman" w:hAnsi="Times New Roman" w:cs="Times New Roman"/>
          <w:lang w:val="lt-LT" w:eastAsia="en-US"/>
        </w:rPr>
        <w:t xml:space="preserve"> </w:t>
      </w:r>
      <w:r>
        <w:rPr>
          <w:rFonts w:ascii="Times New Roman" w:eastAsiaTheme="minorHAnsi" w:hAnsi="Times New Roman" w:cs="Times New Roman"/>
          <w:lang w:val="lt-LT" w:eastAsia="en-US"/>
        </w:rPr>
        <w:t>yra alerginės reakcijos, traukuliai (priepuoliai) ir storosios žarnos uždegimas. Turite stebėti, ar vartojant Amoksiklav, neatsiranda tam tikrų simptomų, kad būtų kuo mažesnė bet kurių komplikacijų rizika. Žr. 4 skyriaus</w:t>
      </w:r>
      <w:r>
        <w:rPr>
          <w:rFonts w:ascii="Times New Roman" w:eastAsiaTheme="minorHAnsi" w:hAnsi="Times New Roman" w:cs="Times New Roman"/>
          <w:b/>
          <w:lang w:val="lt-LT" w:eastAsia="en-US"/>
        </w:rPr>
        <w:t xml:space="preserve"> </w:t>
      </w:r>
      <w:r>
        <w:rPr>
          <w:rFonts w:ascii="Times New Roman" w:eastAsiaTheme="minorHAnsi" w:hAnsi="Times New Roman" w:cs="Times New Roman"/>
          <w:lang w:val="lt-LT" w:eastAsia="en-US"/>
        </w:rPr>
        <w:t>poskyrį ,,</w:t>
      </w:r>
      <w:r>
        <w:rPr>
          <w:rFonts w:ascii="Times New Roman" w:eastAsiaTheme="minorHAnsi" w:hAnsi="Times New Roman" w:cs="Times New Roman"/>
          <w:i/>
          <w:lang w:val="lt-LT" w:eastAsia="en-US"/>
        </w:rPr>
        <w:t>Būklės, kurių turite saugotis</w:t>
      </w:r>
      <w:r>
        <w:rPr>
          <w:rFonts w:ascii="Times New Roman" w:eastAsiaTheme="minorHAnsi" w:hAnsi="Times New Roman" w:cs="Times New Roman"/>
          <w:lang w:val="lt-LT" w:eastAsia="en-US"/>
        </w:rPr>
        <w:t>“.</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i/>
          <w:lang w:val="lt-LT" w:eastAsia="en-US"/>
        </w:rPr>
      </w:pPr>
      <w:r>
        <w:rPr>
          <w:rFonts w:ascii="Times New Roman" w:eastAsiaTheme="minorHAnsi" w:hAnsi="Times New Roman" w:cs="Times New Roman"/>
          <w:i/>
          <w:lang w:val="lt-LT" w:eastAsia="en-US"/>
        </w:rPr>
        <w:t>Kraujo ir šlapimo tyrimai</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bus atliekami kraujo (pvz., raudonųjų kraujo ląstelių kiekiui nustatyti arba kepenų veiklai ištirti) arba šlapimo tyrimai (gliukozei nustatyti), pasakykite gydytojui arba slaugytojai, kad vartojate Amoksiklav. Tai padaryti reikia dėl to, kad Amoksiklav gali veikti šių tyrimų rodmenis.</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Kiti vaistai ir Amoksiklav</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vartojate ar neseniai vartojote kitų vaistų arba dėl to nesate tikri, apie tai pasakykite gydytojui arba vaistininkui.</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Pasakykite gydytojui arba vaistininkui, jeigu vartojate kurio nors iš šių vaistų:</w:t>
      </w:r>
    </w:p>
    <w:p w:rsidR="00702A11" w:rsidRDefault="00702A11" w:rsidP="00702A1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alopurinolio (gydoma podagra). Vartojant šio vaisto kartu su Amoksiklav, padidėja alerginės odos reakcijos rizika.</w:t>
      </w:r>
    </w:p>
    <w:p w:rsidR="00702A11" w:rsidRDefault="00702A11" w:rsidP="00702A1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probenecido (gydoma podagra). Gydytojas gali nuspręsti pakeisti Amoksiklav dozę.</w:t>
      </w:r>
    </w:p>
    <w:p w:rsidR="00702A11" w:rsidRDefault="00702A11" w:rsidP="00702A1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vaistų, kurie neleidžia susiformuoti kraujo krešuliams (pvz., varfarino). Gali prireikti papildomų kraujo tyrimų.</w:t>
      </w:r>
    </w:p>
    <w:p w:rsidR="00702A11" w:rsidRDefault="00702A11" w:rsidP="00702A1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metotreksato (vaisto, kuriuo gydomas vėžys arba reumatinės ligos). Gali sustiprėti šio vaisto šalutinis poveikis.</w:t>
      </w:r>
    </w:p>
    <w:p w:rsidR="00702A11" w:rsidRDefault="00702A11" w:rsidP="00702A1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mikofenolato mofetilio (imuninę sistemą slopinantis vaistas). Vartojant šio vaisto kartu su Amoksiklav, gydytojas atidžiai stebės Jūsų sveikatos būklę. </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Nėštumas ir žindymo laikotarpis</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esate nėščia, žindote kūdikį, manote, kad galbūt esate nėščia, arba planuojate pastoti, tai prieš vartodama šį vaistą, pasitarkite su gydytoju arba vaistininku</w:t>
      </w:r>
      <w:r>
        <w:rPr>
          <w:rFonts w:ascii="Times New Roman" w:eastAsia="Times New Roman" w:hAnsi="Times New Roman" w:cs="Times New Roman"/>
          <w:lang w:val="lt-LT" w:eastAsia="en-US"/>
        </w:rPr>
        <w:t>.</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Vairavimas ir mechanizmų valdymas</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gali sukelti šalutinius poveikius, kurie gali trikdyti gebėjimą vairuoti. Jeigu jaučiatės blogai, vairuoti ar mechanizmų valdyti negalima.</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keepNext/>
        <w:tabs>
          <w:tab w:val="left" w:pos="567"/>
        </w:tabs>
        <w:spacing w:after="0" w:line="240" w:lineRule="auto"/>
        <w:ind w:left="567" w:hanging="567"/>
        <w:outlineLvl w:val="1"/>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3.</w:t>
      </w:r>
      <w:r>
        <w:rPr>
          <w:rFonts w:ascii="Times New Roman" w:eastAsiaTheme="minorHAnsi" w:hAnsi="Times New Roman" w:cs="Times New Roman"/>
          <w:b/>
          <w:lang w:val="lt-LT" w:eastAsia="en-US"/>
        </w:rPr>
        <w:tab/>
        <w:t>Kaip vartoti Amoksiklav</w:t>
      </w:r>
      <w:bookmarkEnd w:id="3"/>
      <w:bookmarkEnd w:id="4"/>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Visada vartokite šį vaistą tiksliai kaip nurodė gydytojas. Jeigu abejojate, kreipkitės į gydytoją arba vaistininką. </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Vartojimo metodas</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Tabletę nurykite visą, užsigerdami stikline vandens. Tabletes vartokite pradėję valgyti arba prieš pat valgį.</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Dozavimas </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i/>
          <w:lang w:val="lt-LT" w:eastAsia="en-US"/>
        </w:rPr>
      </w:pPr>
      <w:r>
        <w:rPr>
          <w:rFonts w:ascii="Times New Roman" w:eastAsiaTheme="minorHAnsi" w:hAnsi="Times New Roman" w:cs="Times New Roman"/>
          <w:b/>
          <w:i/>
          <w:lang w:val="lt-LT" w:eastAsia="en-US"/>
        </w:rPr>
        <w:t>Suaugusiesiems ir vaikams, kurie sveria 40 kg ir daugiau</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500 mg/125 mg plėvele dengtos tabletės</w:t>
      </w:r>
    </w:p>
    <w:p w:rsidR="00702A11" w:rsidRDefault="00702A11" w:rsidP="00702A11">
      <w:pPr>
        <w:numPr>
          <w:ilvl w:val="0"/>
          <w:numId w:val="6"/>
        </w:numPr>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Įprasta dozė yra po 1 tabletę tris kartus per parą.</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875 mg/125 mg plėvele dengtos tabletės</w:t>
      </w:r>
    </w:p>
    <w:p w:rsidR="00702A11" w:rsidRDefault="00702A11" w:rsidP="00702A11">
      <w:pPr>
        <w:numPr>
          <w:ilvl w:val="0"/>
          <w:numId w:val="7"/>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Įprasta dozė yra po 1 tabletę du kartus per parą.</w:t>
      </w:r>
    </w:p>
    <w:p w:rsidR="00702A11" w:rsidRDefault="00702A11" w:rsidP="00702A11">
      <w:pPr>
        <w:numPr>
          <w:ilvl w:val="0"/>
          <w:numId w:val="7"/>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Esant reikalui, gydytojas gali paskirti didesnę dozę – po 1 tabletę tris kartus per parą.</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Tabletes reikia gerti vienodais laiko tarpais, ne dažniau kaip kas 4 valandas. Dviejų dozių per vieną valandą vartoti negalima.</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i/>
          <w:lang w:val="lt-LT" w:eastAsia="en-US"/>
        </w:rPr>
      </w:pPr>
      <w:r>
        <w:rPr>
          <w:rFonts w:ascii="Times New Roman" w:eastAsiaTheme="minorHAnsi" w:hAnsi="Times New Roman" w:cs="Times New Roman"/>
          <w:b/>
          <w:i/>
          <w:lang w:val="lt-LT" w:eastAsia="en-US"/>
        </w:rPr>
        <w:t>Vaikams, kurie sveria mažiau kaip 40 kg</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Jaunesnius kaip 6 metų vaikus geriau gydyti kitos rūšies Amoksiklav vaistu - geriamąja suspensija.</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Prieš vartojant Amoksiklav tabletes vaikams, kurie sveria mažiau kaip 40 kg, pasitarkite su gydytoju.</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i/>
          <w:lang w:val="lt-LT" w:eastAsia="en-US"/>
        </w:rPr>
      </w:pPr>
      <w:r>
        <w:rPr>
          <w:rFonts w:ascii="Times New Roman" w:eastAsiaTheme="minorHAnsi" w:hAnsi="Times New Roman" w:cs="Times New Roman"/>
          <w:b/>
          <w:i/>
          <w:lang w:val="lt-LT" w:eastAsia="en-US"/>
        </w:rPr>
        <w:t>Pacientams kurių inkstų ir kepenų funkcija sutrikusi</w:t>
      </w:r>
    </w:p>
    <w:p w:rsidR="00702A11" w:rsidRDefault="00702A11" w:rsidP="00702A11">
      <w:pPr>
        <w:numPr>
          <w:ilvl w:val="0"/>
          <w:numId w:val="8"/>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inkstų veikla yra sutrikusi, dozę gali tekti sumažinti. Gydytojas gali skirti kitokio stiprumo arba kitokį vaistą.</w:t>
      </w:r>
    </w:p>
    <w:p w:rsidR="00702A11" w:rsidRDefault="00702A11" w:rsidP="00702A11">
      <w:pPr>
        <w:numPr>
          <w:ilvl w:val="0"/>
          <w:numId w:val="8"/>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Jeigu kepenų veikla yra sutrikusi, gali tekti dažniau tirti kraują </w:t>
      </w:r>
      <w:r>
        <w:rPr>
          <w:rFonts w:ascii="Times New Roman" w:eastAsia="Times New Roman" w:hAnsi="Times New Roman" w:cs="Times New Roman"/>
          <w:lang w:val="lt-LT" w:eastAsia="en-US"/>
        </w:rPr>
        <w:t>ir kepenų</w:t>
      </w:r>
      <w:r>
        <w:rPr>
          <w:rFonts w:ascii="Times New Roman" w:eastAsiaTheme="minorHAnsi" w:hAnsi="Times New Roman" w:cs="Times New Roman"/>
          <w:lang w:val="lt-LT" w:eastAsia="en-US"/>
        </w:rPr>
        <w:t xml:space="preserve"> veiklą.</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spacing w:before="120"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Gydymo trukmė</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vartoti ilgiau kaip 2 savaites nerekomenduojama. Jeigu vis dar jaučiatės blogai, kreipkitės į gydytoją.</w:t>
      </w:r>
    </w:p>
    <w:p w:rsidR="00702A11" w:rsidRDefault="00702A11" w:rsidP="00702A11">
      <w:pPr>
        <w:spacing w:after="0" w:line="240" w:lineRule="auto"/>
        <w:ind w:left="540" w:hanging="540"/>
        <w:rPr>
          <w:rFonts w:ascii="Times New Roman" w:eastAsiaTheme="minorHAnsi" w:hAnsi="Times New Roman" w:cs="Times New Roman"/>
          <w:u w:val="single"/>
          <w:lang w:val="lt-LT" w:eastAsia="en-US"/>
        </w:rPr>
      </w:pPr>
    </w:p>
    <w:p w:rsidR="00702A11" w:rsidRDefault="00702A11" w:rsidP="00702A11">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Ką daryti pavartojus per didelę Amoksiklav dozę?</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išgėrėte per daug Amoksiklav, nedelsdami kreipkitės į gydytoją. Pasiimkite vaisto pakuotę, kad galėtumėte parodyti gydytojui.</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Pavartojus per didelę Amoksiklav dozę, gali pasireikšti skrandžio negalavimas (pykinimas, vėmimas ar</w:t>
      </w:r>
      <w:r>
        <w:rPr>
          <w:rFonts w:ascii="Times New Roman" w:eastAsia="Times New Roman" w:hAnsi="Times New Roman" w:cs="Times New Roman"/>
          <w:lang w:val="lt-LT" w:eastAsia="en-US"/>
        </w:rPr>
        <w:t xml:space="preserve"> </w:t>
      </w:r>
      <w:r>
        <w:rPr>
          <w:rFonts w:ascii="Times New Roman" w:eastAsiaTheme="minorHAnsi" w:hAnsi="Times New Roman" w:cs="Times New Roman"/>
          <w:lang w:val="lt-LT" w:eastAsia="en-US"/>
        </w:rPr>
        <w:t xml:space="preserve">viduriavimas) ar traukuliai. </w:t>
      </w:r>
    </w:p>
    <w:p w:rsidR="00702A11" w:rsidRDefault="00702A11" w:rsidP="00702A11">
      <w:pPr>
        <w:spacing w:after="0" w:line="240" w:lineRule="auto"/>
        <w:ind w:left="567" w:hanging="567"/>
        <w:rPr>
          <w:rFonts w:ascii="Times New Roman" w:eastAsiaTheme="minorHAnsi" w:hAnsi="Times New Roman" w:cs="Times New Roman"/>
          <w:u w:val="single"/>
          <w:lang w:val="lt-LT" w:eastAsia="en-US"/>
        </w:rPr>
      </w:pPr>
    </w:p>
    <w:p w:rsidR="00702A11" w:rsidRDefault="00702A11" w:rsidP="00702A11">
      <w:pPr>
        <w:spacing w:after="0" w:line="240" w:lineRule="auto"/>
        <w:ind w:left="567" w:hanging="567"/>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Pamiršus pavartoti Amoksiklav </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pamiršote išgerti dozę, išgerkite ją kai tik prisiminsite. Kitą dozę galima gerti ne anksčiau, kaip po maždaug 4 valandų.</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Nustojus vartoti Amoksiklav</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reikia vartoti tiek laiko, kiek nurodė gydytojas, net jeigu jaučiatės gerai. Kad įveiktumėte infekcinę ligą, turite išgerti kiekvieną dozę. Jeigu organizme lieka bakterijų, liga gali atsinaujinti.</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lastRenderedPageBreak/>
        <w:t>Jeigu kiltų daugiau klausimų dėl šio vaisto vartojimo, kreipkitės į gydytoją arba vaistininką.</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imes New Roman" w:hAnsi="Times New Roman" w:cs="Times New Roman"/>
          <w:lang w:val="lt-LT" w:eastAsia="lt-LT"/>
        </w:rPr>
      </w:pPr>
    </w:p>
    <w:p w:rsidR="00702A11" w:rsidRDefault="00702A11" w:rsidP="00702A11">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5" w:name="_Toc129243142"/>
      <w:bookmarkStart w:id="6" w:name="_Toc129243267"/>
      <w:r>
        <w:rPr>
          <w:rFonts w:ascii="Times New Roman" w:eastAsiaTheme="minorHAnsi" w:hAnsi="Times New Roman" w:cs="Times New Roman"/>
          <w:b/>
          <w:lang w:val="lt-LT" w:eastAsia="en-US"/>
        </w:rPr>
        <w:t>4.</w:t>
      </w:r>
      <w:r>
        <w:rPr>
          <w:rFonts w:ascii="Times New Roman" w:eastAsiaTheme="minorHAnsi" w:hAnsi="Times New Roman" w:cs="Times New Roman"/>
          <w:b/>
          <w:lang w:val="lt-LT" w:eastAsia="en-US"/>
        </w:rPr>
        <w:tab/>
        <w:t>Galimas šalutinis poveikis</w:t>
      </w:r>
      <w:bookmarkEnd w:id="5"/>
      <w:bookmarkEnd w:id="6"/>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Šis vaistas, kaip ir visi kiti, gali sukelti šalutinį poveikį, nors jis pasireiškia ne visiems žmonėms.</w:t>
      </w: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Būklės, kurių turite saugotis</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Jeigu pasireiškė bet kuris iš išvardytų simptomų, nutraukite vaisto vartojimą ir nedelsdami kreipkitės į gydytoją:</w:t>
      </w:r>
    </w:p>
    <w:p w:rsidR="00702A11" w:rsidRDefault="00702A11" w:rsidP="00702A11">
      <w:pPr>
        <w:numPr>
          <w:ilvl w:val="0"/>
          <w:numId w:val="9"/>
        </w:numPr>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odos išbėrimas, ypač jei;</w:t>
      </w:r>
    </w:p>
    <w:p w:rsidR="00702A11" w:rsidRDefault="00702A11" w:rsidP="00702A11">
      <w:pPr>
        <w:numPr>
          <w:ilvl w:val="0"/>
          <w:numId w:val="10"/>
        </w:num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odos išbėrimas pasireiškia pūslėmis ar yra panašus į mažus taikinius (viduryje tamsi dėmelė, apsupta blyškesnės srities, kurią supa tamsus žiedas – </w:t>
      </w:r>
      <w:r>
        <w:rPr>
          <w:rFonts w:ascii="Times New Roman" w:eastAsiaTheme="minorHAnsi" w:hAnsi="Times New Roman" w:cs="Times New Roman"/>
          <w:i/>
          <w:lang w:val="lt-LT" w:eastAsia="en-US"/>
        </w:rPr>
        <w:t>daugiaformė eritema</w:t>
      </w:r>
      <w:r>
        <w:rPr>
          <w:rFonts w:ascii="Times New Roman" w:eastAsia="Times New Roman" w:hAnsi="Times New Roman" w:cs="Times New Roman"/>
          <w:lang w:val="lt-LT" w:eastAsia="en-US"/>
        </w:rPr>
        <w:t>);</w:t>
      </w:r>
    </w:p>
    <w:p w:rsidR="00702A11" w:rsidRDefault="00702A11" w:rsidP="00702A11">
      <w:pPr>
        <w:numPr>
          <w:ilvl w:val="0"/>
          <w:numId w:val="10"/>
        </w:numPr>
        <w:autoSpaceDE w:val="0"/>
        <w:autoSpaceDN w:val="0"/>
        <w:adjustRightInd w:val="0"/>
        <w:spacing w:after="0" w:line="240" w:lineRule="auto"/>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odos išbėrimas plačiai išplitęs, pasireiškia pūslėmis ar odos lupimusi, ypač apie burną, nosį, akis ir lytinius organus (</w:t>
      </w:r>
      <w:r>
        <w:rPr>
          <w:rFonts w:ascii="Times New Roman" w:eastAsiaTheme="minorHAnsi" w:hAnsi="Times New Roman" w:cs="Times New Roman"/>
          <w:i/>
          <w:lang w:val="lt-LT" w:eastAsia="en-US"/>
        </w:rPr>
        <w:t>Stivenso-Džonsono sindromas</w:t>
      </w:r>
      <w:r>
        <w:rPr>
          <w:rFonts w:ascii="Times New Roman" w:eastAsiaTheme="minorHAnsi" w:hAnsi="Times New Roman" w:cs="Times New Roman"/>
          <w:lang w:val="lt-LT" w:eastAsia="en-US"/>
        </w:rPr>
        <w:t>) ir sunkesnės formos, dėl kurių pasireiškia odos lupimasis dideliame kūno paviršiaus ploto (</w:t>
      </w:r>
      <w:r>
        <w:rPr>
          <w:rFonts w:ascii="Times New Roman" w:eastAsiaTheme="minorHAnsi" w:hAnsi="Times New Roman" w:cs="Times New Roman"/>
          <w:i/>
          <w:lang w:val="lt-LT" w:eastAsia="en-US"/>
        </w:rPr>
        <w:t>toksinė epidermio nekrolizė</w:t>
      </w:r>
      <w:r>
        <w:rPr>
          <w:rFonts w:ascii="Times New Roman" w:eastAsiaTheme="minorHAnsi" w:hAnsi="Times New Roman" w:cs="Times New Roman"/>
          <w:lang w:val="lt-LT" w:eastAsia="en-US"/>
        </w:rPr>
        <w:t>);</w:t>
      </w:r>
    </w:p>
    <w:p w:rsidR="00702A11" w:rsidRDefault="00702A11" w:rsidP="00702A11">
      <w:pPr>
        <w:numPr>
          <w:ilvl w:val="0"/>
          <w:numId w:val="10"/>
        </w:numPr>
        <w:autoSpaceDE w:val="0"/>
        <w:autoSpaceDN w:val="0"/>
        <w:adjustRightInd w:val="0"/>
        <w:spacing w:after="0" w:line="240" w:lineRule="auto"/>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plačiai išplitęs raudonas odos išbėrimas, pasireiškiantis mažomis pūlingomis pūslėmis (</w:t>
      </w:r>
      <w:r>
        <w:rPr>
          <w:rFonts w:ascii="Times New Roman" w:eastAsiaTheme="minorHAnsi" w:hAnsi="Times New Roman" w:cs="Times New Roman"/>
          <w:i/>
          <w:lang w:val="lt-LT" w:eastAsia="en-US"/>
        </w:rPr>
        <w:t>buliozinis (pūslinis) eksfoliacinis dermatitas</w:t>
      </w:r>
      <w:r>
        <w:rPr>
          <w:rFonts w:ascii="Times New Roman" w:eastAsiaTheme="minorHAnsi" w:hAnsi="Times New Roman" w:cs="Times New Roman"/>
          <w:lang w:val="lt-LT" w:eastAsia="en-US"/>
        </w:rPr>
        <w:t>);</w:t>
      </w:r>
    </w:p>
    <w:p w:rsidR="00702A11" w:rsidRDefault="00702A11" w:rsidP="00702A11">
      <w:pPr>
        <w:numPr>
          <w:ilvl w:val="0"/>
          <w:numId w:val="10"/>
        </w:numPr>
        <w:autoSpaceDE w:val="0"/>
        <w:autoSpaceDN w:val="0"/>
        <w:adjustRightInd w:val="0"/>
        <w:spacing w:after="0" w:line="240" w:lineRule="auto"/>
        <w:contextualSpacing/>
        <w:rPr>
          <w:rFonts w:ascii="Times New Roman" w:eastAsiaTheme="minorHAnsi" w:hAnsi="Times New Roman" w:cs="Times New Roman"/>
          <w:i/>
          <w:lang w:val="lt-LT" w:eastAsia="en-US"/>
        </w:rPr>
      </w:pPr>
      <w:r>
        <w:rPr>
          <w:rFonts w:ascii="Times New Roman" w:eastAsiaTheme="minorHAnsi" w:hAnsi="Times New Roman" w:cs="Times New Roman"/>
          <w:lang w:val="lt-LT" w:eastAsia="en-US"/>
        </w:rPr>
        <w:t xml:space="preserve"> išbėrimas raudonas, žvynuotas, pasireiškiantis gumbais po oda ir pūslėmis (</w:t>
      </w:r>
      <w:r>
        <w:rPr>
          <w:rFonts w:ascii="Times New Roman" w:eastAsiaTheme="minorHAnsi" w:hAnsi="Times New Roman" w:cs="Times New Roman"/>
          <w:i/>
          <w:lang w:val="lt-LT" w:eastAsia="en-US"/>
        </w:rPr>
        <w:t>egzanteminė pustuliozė</w:t>
      </w:r>
      <w:r>
        <w:rPr>
          <w:rFonts w:ascii="Times New Roman" w:eastAsia="Times New Roman" w:hAnsi="Times New Roman" w:cs="Times New Roman"/>
          <w:lang w:val="lt-LT" w:eastAsia="en-US"/>
        </w:rPr>
        <w:t>);</w:t>
      </w:r>
    </w:p>
    <w:p w:rsidR="00702A11" w:rsidRDefault="00702A11" w:rsidP="00702A11">
      <w:pPr>
        <w:numPr>
          <w:ilvl w:val="0"/>
          <w:numId w:val="10"/>
        </w:numPr>
        <w:autoSpaceDE w:val="0"/>
        <w:autoSpaceDN w:val="0"/>
        <w:adjustRightInd w:val="0"/>
        <w:spacing w:after="0" w:line="240" w:lineRule="auto"/>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pasireiškia 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(DRESS));</w:t>
      </w:r>
    </w:p>
    <w:p w:rsidR="00702A11" w:rsidRDefault="00702A11" w:rsidP="00702A1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kraujagyslių uždegimas (</w:t>
      </w:r>
      <w:r>
        <w:rPr>
          <w:rFonts w:ascii="Times New Roman" w:eastAsiaTheme="minorHAnsi" w:hAnsi="Times New Roman" w:cs="Times New Roman"/>
          <w:i/>
          <w:lang w:val="lt-LT" w:eastAsia="en-US"/>
        </w:rPr>
        <w:t>vaskulitas</w:t>
      </w:r>
      <w:r>
        <w:rPr>
          <w:rFonts w:ascii="Times New Roman" w:eastAsiaTheme="minorHAnsi" w:hAnsi="Times New Roman" w:cs="Times New Roman"/>
          <w:lang w:val="lt-LT" w:eastAsia="en-US"/>
        </w:rPr>
        <w:t>), kuris gali pasireikšti raudonomis ar purpurinėmis iškiliomis dėmėmis odoje, bet gali paveikti ir kitas organizmo vietas;</w:t>
      </w:r>
    </w:p>
    <w:p w:rsidR="00702A11" w:rsidRDefault="00702A11" w:rsidP="00702A1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karščiavimas, sąnarių skausmas, kaklo, pažastų ar kirkšnių limfmazgių padidėjimas;</w:t>
      </w:r>
    </w:p>
    <w:p w:rsidR="00702A11" w:rsidRDefault="00702A11" w:rsidP="00702A1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patinimas, kartais veido ar burnos (</w:t>
      </w:r>
      <w:r>
        <w:rPr>
          <w:rFonts w:ascii="Times New Roman" w:eastAsiaTheme="minorHAnsi" w:hAnsi="Times New Roman" w:cs="Times New Roman"/>
          <w:i/>
          <w:lang w:val="lt-LT" w:eastAsia="en-US"/>
        </w:rPr>
        <w:t>angioneurozinė edema</w:t>
      </w:r>
      <w:r>
        <w:rPr>
          <w:rFonts w:ascii="Times New Roman" w:eastAsiaTheme="minorHAnsi" w:hAnsi="Times New Roman" w:cs="Times New Roman"/>
          <w:lang w:val="lt-LT" w:eastAsia="en-US"/>
        </w:rPr>
        <w:t>), dėl kurio gali pasunkėti kvėpavimas;</w:t>
      </w:r>
    </w:p>
    <w:p w:rsidR="00702A11" w:rsidRDefault="00702A11" w:rsidP="00702A1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ūminis kraujotakos nepakankamumas (</w:t>
      </w:r>
      <w:r>
        <w:rPr>
          <w:rFonts w:ascii="Times New Roman" w:eastAsiaTheme="minorHAnsi" w:hAnsi="Times New Roman" w:cs="Times New Roman"/>
          <w:i/>
          <w:lang w:val="lt-LT" w:eastAsia="en-US"/>
        </w:rPr>
        <w:t>kolapsas</w:t>
      </w:r>
      <w:r>
        <w:rPr>
          <w:rFonts w:ascii="Times New Roman" w:eastAsia="Times New Roman" w:hAnsi="Times New Roman" w:cs="Times New Roman"/>
          <w:lang w:val="lt-LT" w:eastAsia="en-US"/>
        </w:rPr>
        <w:t>);</w:t>
      </w:r>
    </w:p>
    <w:p w:rsidR="00702A11" w:rsidRDefault="00702A11" w:rsidP="00702A1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viduriavimas vandeningomis išmatomis su krauju ir gleivėmis, pilvo skausmas ir (arba) karščiavimas. Tai gali būti žarnyno uždegimo požymiai.</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Kitas šalutinis poveikis</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Labai dažnas šalutinis poveikis </w:t>
      </w:r>
      <w:r>
        <w:rPr>
          <w:rFonts w:ascii="Times New Roman" w:eastAsiaTheme="minorHAnsi" w:hAnsi="Times New Roman" w:cs="Times New Roman"/>
          <w:lang w:val="lt-LT" w:eastAsia="en-US"/>
        </w:rPr>
        <w:t>(gali pasireikšti daugiau kaip 1 iš 10 žmonių)</w:t>
      </w:r>
    </w:p>
    <w:p w:rsidR="00702A11" w:rsidRDefault="00702A11" w:rsidP="00702A1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viduriavimas (suaugusiesiems).</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Dažnas šalutinis poveikis </w:t>
      </w:r>
      <w:r>
        <w:rPr>
          <w:rFonts w:ascii="Times New Roman" w:eastAsiaTheme="minorHAnsi" w:hAnsi="Times New Roman" w:cs="Times New Roman"/>
          <w:lang w:val="lt-LT" w:eastAsia="en-US"/>
        </w:rPr>
        <w:t>(gali pasireikšti ne daugiau kaip 1 iš 10 žmonių)</w:t>
      </w:r>
    </w:p>
    <w:p w:rsidR="00702A11" w:rsidRDefault="00702A11" w:rsidP="00702A1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pienligė (kandidozė – mieliagrybių sukelta makšties, burnos ar odos raukšlių infekcinė liga);</w:t>
      </w:r>
    </w:p>
    <w:p w:rsidR="00702A11" w:rsidRDefault="00702A11" w:rsidP="00702A1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pykinimas, ypač geriant dideles dozes. Jeigu pasireiškia toks poveikis, gerkite Amoksiklav prieš valgį;</w:t>
      </w:r>
    </w:p>
    <w:p w:rsidR="00702A11" w:rsidRDefault="00702A11" w:rsidP="00702A1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vėmimas;</w:t>
      </w:r>
    </w:p>
    <w:p w:rsidR="00702A11" w:rsidRDefault="00702A11" w:rsidP="00702A1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viduriavimas (vaikams).</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Nedažnas šalutinis poveikis </w:t>
      </w:r>
      <w:r>
        <w:rPr>
          <w:rFonts w:ascii="Times New Roman" w:eastAsiaTheme="minorHAnsi" w:hAnsi="Times New Roman" w:cs="Times New Roman"/>
          <w:lang w:val="lt-LT" w:eastAsia="en-US"/>
        </w:rPr>
        <w:t>(gali pasireikšti ne daugiau kaip 1 iš 100 žmonių)</w:t>
      </w:r>
    </w:p>
    <w:p w:rsidR="00702A11" w:rsidRDefault="00702A11" w:rsidP="00702A1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odos išbėrimas, niežulys;</w:t>
      </w:r>
    </w:p>
    <w:p w:rsidR="00702A11" w:rsidRDefault="00702A11" w:rsidP="00702A1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iškilus niežtintysis išbėrimas (</w:t>
      </w:r>
      <w:r>
        <w:rPr>
          <w:rFonts w:ascii="Times New Roman" w:eastAsiaTheme="minorHAnsi" w:hAnsi="Times New Roman" w:cs="Times New Roman"/>
          <w:i/>
          <w:lang w:val="lt-LT" w:eastAsia="en-US"/>
        </w:rPr>
        <w:t>dilgėlinė</w:t>
      </w:r>
      <w:r>
        <w:rPr>
          <w:rFonts w:ascii="Times New Roman" w:eastAsiaTheme="minorHAnsi" w:hAnsi="Times New Roman" w:cs="Times New Roman"/>
          <w:lang w:val="lt-LT" w:eastAsia="en-US"/>
        </w:rPr>
        <w:t>);</w:t>
      </w:r>
    </w:p>
    <w:p w:rsidR="00702A11" w:rsidRDefault="00702A11" w:rsidP="00702A1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nevirškinimas;</w:t>
      </w:r>
    </w:p>
    <w:p w:rsidR="00702A11" w:rsidRDefault="00702A11" w:rsidP="00702A1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galvos svaigimas;</w:t>
      </w:r>
    </w:p>
    <w:p w:rsidR="00702A11" w:rsidRDefault="00702A11" w:rsidP="00702A1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lastRenderedPageBreak/>
        <w:t>galvos skausmas</w:t>
      </w:r>
      <w:r>
        <w:rPr>
          <w:rFonts w:ascii="Times New Roman" w:eastAsia="Times New Roman" w:hAnsi="Times New Roman" w:cs="Times New Roman"/>
          <w:lang w:val="lt-LT" w:eastAsia="en-US"/>
        </w:rPr>
        <w:t>;</w:t>
      </w:r>
    </w:p>
    <w:p w:rsidR="00702A11" w:rsidRDefault="00702A11" w:rsidP="00702A11">
      <w:pPr>
        <w:numPr>
          <w:ilvl w:val="0"/>
          <w:numId w:val="1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tam tikrų medžiagų (</w:t>
      </w:r>
      <w:r>
        <w:rPr>
          <w:rFonts w:ascii="Times New Roman" w:eastAsiaTheme="minorHAnsi" w:hAnsi="Times New Roman" w:cs="Times New Roman"/>
          <w:i/>
          <w:lang w:val="lt-LT" w:eastAsia="en-US"/>
        </w:rPr>
        <w:t>fermentų</w:t>
      </w:r>
      <w:r>
        <w:rPr>
          <w:rFonts w:ascii="Times New Roman" w:eastAsiaTheme="minorHAnsi" w:hAnsi="Times New Roman" w:cs="Times New Roman"/>
          <w:lang w:val="lt-LT" w:eastAsia="en-US"/>
        </w:rPr>
        <w:t>), kurios gaminamos kepenyse, padaugėjimas (nustatomas kraujo tyrimais).</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Retas šalutinis poveikis </w:t>
      </w:r>
      <w:r>
        <w:rPr>
          <w:rFonts w:ascii="Times New Roman" w:eastAsiaTheme="minorHAnsi" w:hAnsi="Times New Roman" w:cs="Times New Roman"/>
          <w:lang w:val="lt-LT" w:eastAsia="en-US"/>
        </w:rPr>
        <w:t>(gali pasireikšti ne daugiau kaip 1 iš 1000 žmonių)</w:t>
      </w:r>
    </w:p>
    <w:p w:rsidR="00702A11" w:rsidRDefault="00702A11" w:rsidP="00702A11">
      <w:pPr>
        <w:numPr>
          <w:ilvl w:val="0"/>
          <w:numId w:val="1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mažas kraujo ląstelių, kurios dalyvauja kraujo krešėjime, kiekis (nustatomas kraujo tyrimais);</w:t>
      </w:r>
    </w:p>
    <w:p w:rsidR="00702A11" w:rsidRDefault="00702A11" w:rsidP="00702A11">
      <w:pPr>
        <w:numPr>
          <w:ilvl w:val="0"/>
          <w:numId w:val="1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mažas baltųjų kraujo ląstelių kiekis (nustatomas kraujo tyrimais).</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b/>
          <w:lang w:val="lt-LT" w:eastAsia="en-US"/>
        </w:rPr>
        <w:t>Dažnis nežinomas</w:t>
      </w:r>
      <w:r>
        <w:rPr>
          <w:rFonts w:ascii="Times New Roman" w:eastAsiaTheme="minorHAnsi" w:hAnsi="Times New Roman" w:cs="Times New Roman"/>
          <w:lang w:val="lt-LT" w:eastAsia="en-US"/>
        </w:rPr>
        <w:t xml:space="preserve"> (labai mažai daliai žmonių pasireiškė kitoks šalutinis poveikis, bet tikslus jo dažnis nežinomas).</w:t>
      </w:r>
    </w:p>
    <w:p w:rsidR="00702A11" w:rsidRDefault="00702A11" w:rsidP="00702A1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kepenų uždegimas (</w:t>
      </w:r>
      <w:r>
        <w:rPr>
          <w:rFonts w:ascii="Times New Roman" w:eastAsiaTheme="minorHAnsi" w:hAnsi="Times New Roman" w:cs="Times New Roman"/>
          <w:i/>
          <w:lang w:val="lt-LT" w:eastAsia="en-US"/>
        </w:rPr>
        <w:t>hepatitas</w:t>
      </w:r>
      <w:r>
        <w:rPr>
          <w:rFonts w:ascii="Times New Roman" w:eastAsiaTheme="minorHAnsi" w:hAnsi="Times New Roman" w:cs="Times New Roman"/>
          <w:lang w:val="lt-LT" w:eastAsia="en-US"/>
        </w:rPr>
        <w:t>);</w:t>
      </w:r>
    </w:p>
    <w:p w:rsidR="00702A11" w:rsidRDefault="00702A11" w:rsidP="00702A1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gelta dėl bilirubino padaugėjimo kraujyje (kepenyse gaminama medžiaga), kuri gali pasireikšti odos ir akių baltymo pageltimu;</w:t>
      </w:r>
    </w:p>
    <w:p w:rsidR="00702A11" w:rsidRDefault="00702A11" w:rsidP="00702A1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inkstų kanalėlių uždegimas;</w:t>
      </w:r>
    </w:p>
    <w:p w:rsidR="00702A11" w:rsidRDefault="00702A11" w:rsidP="00702A1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kraujo krešėjimo pailgėjimas;</w:t>
      </w:r>
    </w:p>
    <w:p w:rsidR="00702A11" w:rsidRDefault="00702A11" w:rsidP="00702A1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pernelyg didelis aktyvumas;</w:t>
      </w:r>
    </w:p>
    <w:p w:rsidR="00702A11" w:rsidRDefault="00702A11" w:rsidP="00702A1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traukuliai (dideles Amoksiklav dozes vartojantiems ar inkstų funkcijos sutrikimais sergantiems žmonėms);</w:t>
      </w:r>
    </w:p>
    <w:p w:rsidR="00702A11" w:rsidRDefault="00702A11" w:rsidP="00702A1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aseptinis meningitas (ne mikroorganizmų sukeltas smegenų dangalų uždegimas);</w:t>
      </w:r>
    </w:p>
    <w:p w:rsidR="00702A11" w:rsidRDefault="00702A11" w:rsidP="00702A1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juodas liežuvis, kuris atrodo tarsi gauruotas;</w:t>
      </w:r>
    </w:p>
    <w:p w:rsidR="00702A11" w:rsidRDefault="00702A11" w:rsidP="00702A1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dantų spalvos pokyčiai (vaikams), kurie paprastai pašalinami, valant dantis šepetėliu</w:t>
      </w:r>
      <w:r>
        <w:rPr>
          <w:rFonts w:ascii="Times New Roman" w:eastAsia="Times New Roman" w:hAnsi="Times New Roman" w:cs="Times New Roman"/>
          <w:lang w:val="lt-LT" w:eastAsia="en-US"/>
        </w:rPr>
        <w:t>;</w:t>
      </w:r>
    </w:p>
    <w:p w:rsidR="00702A11" w:rsidRDefault="00702A11" w:rsidP="00702A11">
      <w:pPr>
        <w:numPr>
          <w:ilvl w:val="0"/>
          <w:numId w:val="15"/>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sunkus baltųjų kraujo ląstelių kiekio sumažėjimas (nustatomas kraujo tyrimais);</w:t>
      </w:r>
    </w:p>
    <w:p w:rsidR="00702A11" w:rsidRDefault="00702A11" w:rsidP="00702A11">
      <w:pPr>
        <w:numPr>
          <w:ilvl w:val="0"/>
          <w:numId w:val="15"/>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mažas raudonųjų kraujo ląstelių kiekis (</w:t>
      </w:r>
      <w:r>
        <w:rPr>
          <w:rFonts w:ascii="Times New Roman" w:eastAsiaTheme="minorHAnsi" w:hAnsi="Times New Roman" w:cs="Times New Roman"/>
          <w:i/>
          <w:lang w:val="lt-LT" w:eastAsia="en-US"/>
        </w:rPr>
        <w:t>hemolizinė anemija</w:t>
      </w:r>
      <w:r>
        <w:rPr>
          <w:rFonts w:ascii="Times New Roman" w:eastAsiaTheme="minorHAnsi" w:hAnsi="Times New Roman" w:cs="Times New Roman"/>
          <w:lang w:val="lt-LT" w:eastAsia="en-US"/>
        </w:rPr>
        <w:t>) (nustatomas kraujo tyrimais);</w:t>
      </w:r>
    </w:p>
    <w:p w:rsidR="00702A11" w:rsidRDefault="00702A11" w:rsidP="00702A11">
      <w:pPr>
        <w:numPr>
          <w:ilvl w:val="0"/>
          <w:numId w:val="15"/>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kristalai šlapime (nustatomi kraujo tyrimais).</w:t>
      </w:r>
    </w:p>
    <w:p w:rsidR="00702A11" w:rsidRDefault="00702A11" w:rsidP="00702A11">
      <w:pP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tabs>
          <w:tab w:val="left" w:pos="567"/>
        </w:tabs>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Pranešimas apie šalutinį poveikį</w:t>
      </w:r>
    </w:p>
    <w:p w:rsidR="00702A11" w:rsidRDefault="00702A11" w:rsidP="00702A11">
      <w:pPr>
        <w:spacing w:after="0" w:line="240" w:lineRule="auto"/>
        <w:ind w:right="-448"/>
        <w:contextualSpacing/>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heme="minorHAnsi" w:hAnsi="Times New Roman" w:cs="Times New Roman"/>
          <w:lang w:val="lt-LT" w:eastAsia="zh-CN"/>
        </w:rPr>
        <w:t>elefonu 8 800 73568</w:t>
      </w:r>
      <w:r>
        <w:rPr>
          <w:rFonts w:ascii="Times New Roman" w:eastAsiaTheme="minorHAnsi" w:hAnsi="Times New Roman" w:cs="Times New Roman"/>
          <w:lang w:val="lt-LT" w:eastAsia="en-US"/>
        </w:rPr>
        <w:t xml:space="preserve"> arba užpildyti interneto svetainėje </w:t>
      </w:r>
      <w:hyperlink r:id="rId6" w:history="1">
        <w:r>
          <w:rPr>
            <w:rStyle w:val="Hyperlink"/>
            <w:rFonts w:ascii="Times New Roman" w:eastAsia="SimSun" w:hAnsi="Times New Roman" w:cs="Times New Roman"/>
            <w:lang w:val="lt-LT" w:eastAsia="en-US"/>
          </w:rPr>
          <w:t>www.vvkt.lt</w:t>
        </w:r>
      </w:hyperlink>
      <w:r>
        <w:rPr>
          <w:rFonts w:ascii="Times New Roman" w:eastAsiaTheme="minorHAnsi" w:hAnsi="Times New Roman" w:cs="Times New Roman"/>
          <w:lang w:val="lt-LT" w:eastAsia="en-US"/>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heme="minorHAnsi" w:hAnsi="Times New Roman" w:cs="Times New Roman"/>
          <w:lang w:val="lt-LT" w:eastAsia="zh-CN"/>
        </w:rPr>
        <w:t xml:space="preserve">nemokamu </w:t>
      </w:r>
      <w:r>
        <w:rPr>
          <w:rFonts w:ascii="Times New Roman" w:eastAsiaTheme="minorHAnsi" w:hAnsi="Times New Roman" w:cs="Times New Roman"/>
          <w:lang w:val="lt-LT" w:eastAsia="en-US"/>
        </w:rPr>
        <w:t>fakso numeriu 8 800 20131</w:t>
      </w:r>
      <w:r>
        <w:rPr>
          <w:rFonts w:ascii="Times New Roman" w:eastAsiaTheme="minorHAnsi" w:hAnsi="Times New Roman" w:cs="Times New Roman"/>
          <w:lang w:val="lt-LT" w:eastAsia="zh-CN"/>
        </w:rPr>
        <w:t xml:space="preserve">, </w:t>
      </w:r>
      <w:r>
        <w:rPr>
          <w:rFonts w:ascii="Times New Roman" w:eastAsiaTheme="minorHAnsi" w:hAnsi="Times New Roman" w:cs="Times New Roman"/>
          <w:lang w:val="lt-LT" w:eastAsia="en-US"/>
        </w:rPr>
        <w:t xml:space="preserve">el. paštu </w:t>
      </w:r>
      <w:hyperlink r:id="rId7" w:history="1">
        <w:r>
          <w:rPr>
            <w:rStyle w:val="Hyperlink"/>
            <w:rFonts w:ascii="Times New Roman" w:eastAsia="SimSun" w:hAnsi="Times New Roman" w:cs="Times New Roman"/>
            <w:lang w:val="lt-LT" w:eastAsia="en-US"/>
          </w:rPr>
          <w:t>NepageidaujamaR@vvkt.lt</w:t>
        </w:r>
      </w:hyperlink>
      <w:r>
        <w:rPr>
          <w:rFonts w:ascii="Times New Roman" w:eastAsiaTheme="minorHAnsi" w:hAnsi="Times New Roman" w:cs="Times New Roman"/>
          <w:lang w:val="lt-LT" w:eastAsia="en-US"/>
        </w:rPr>
        <w:t xml:space="preserve">, taip pat per Valstybinės vaistų kontrolės tarnybos prie Lietuvos Respublikos sveikatos apsaugos ministerijos interneto svetainę (adresu </w:t>
      </w:r>
      <w:hyperlink r:id="rId8" w:history="1">
        <w:r>
          <w:rPr>
            <w:rStyle w:val="Hyperlink"/>
            <w:rFonts w:ascii="Times New Roman" w:eastAsia="SimSun" w:hAnsi="Times New Roman" w:cs="Times New Roman"/>
            <w:lang w:val="lt-LT" w:eastAsia="en-US"/>
          </w:rPr>
          <w:t>http://www.vvkt.lt</w:t>
        </w:r>
      </w:hyperlink>
      <w:r>
        <w:rPr>
          <w:rFonts w:ascii="Times New Roman" w:eastAsiaTheme="minorHAnsi" w:hAnsi="Times New Roman" w:cs="Times New Roman"/>
          <w:lang w:val="lt-LT" w:eastAsia="en-US"/>
        </w:rPr>
        <w:t>). Pranešdami apie šalutinį poveikį galite mums padėti gauti daugiau informacijos apie šio vaisto saugumą.</w:t>
      </w:r>
    </w:p>
    <w:p w:rsidR="00702A11" w:rsidRDefault="00702A11" w:rsidP="00702A11">
      <w:pPr>
        <w:spacing w:after="0" w:line="240" w:lineRule="auto"/>
        <w:rPr>
          <w:rFonts w:ascii="Times New Roman" w:eastAsia="Times New Roman" w:hAnsi="Times New Roman" w:cs="Times New Roman"/>
          <w:lang w:val="lt-LT" w:eastAsia="lt-LT"/>
        </w:rPr>
      </w:pPr>
    </w:p>
    <w:p w:rsidR="00702A11" w:rsidRDefault="00702A11" w:rsidP="00702A11">
      <w:pPr>
        <w:spacing w:after="0" w:line="240" w:lineRule="auto"/>
        <w:rPr>
          <w:rFonts w:ascii="Times New Roman" w:eastAsia="Times New Roman" w:hAnsi="Times New Roman" w:cs="Times New Roman"/>
          <w:lang w:val="lt-LT" w:eastAsia="lt-LT"/>
        </w:rPr>
      </w:pPr>
    </w:p>
    <w:p w:rsidR="00702A11" w:rsidRDefault="00702A11" w:rsidP="00702A11">
      <w:pPr>
        <w:keepNext/>
        <w:tabs>
          <w:tab w:val="left" w:pos="567"/>
        </w:tabs>
        <w:spacing w:after="0" w:line="240" w:lineRule="auto"/>
        <w:ind w:left="567" w:hanging="567"/>
        <w:outlineLvl w:val="1"/>
        <w:rPr>
          <w:rFonts w:ascii="Times New Roman" w:eastAsiaTheme="minorHAnsi" w:hAnsi="Times New Roman" w:cs="Times New Roman"/>
          <w:b/>
          <w:color w:val="000000"/>
          <w:lang w:val="lt-LT" w:eastAsia="en-US"/>
        </w:rPr>
      </w:pPr>
      <w:bookmarkStart w:id="7" w:name="_Toc129243143"/>
      <w:bookmarkStart w:id="8" w:name="_Toc129243268"/>
      <w:r>
        <w:rPr>
          <w:rFonts w:ascii="Times New Roman" w:eastAsiaTheme="minorHAnsi" w:hAnsi="Times New Roman" w:cs="Times New Roman"/>
          <w:b/>
          <w:lang w:val="lt-LT" w:eastAsia="en-US"/>
        </w:rPr>
        <w:t>5.</w:t>
      </w:r>
      <w:r>
        <w:rPr>
          <w:rFonts w:ascii="Times New Roman" w:eastAsiaTheme="minorHAnsi" w:hAnsi="Times New Roman" w:cs="Times New Roman"/>
          <w:b/>
          <w:lang w:val="lt-LT" w:eastAsia="en-US"/>
        </w:rPr>
        <w:tab/>
        <w:t>Kaip laikyti Amoksiklav</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Šį vaistą laikykite vaikams nepastebimoje ir nepasiekiamoje vietoje.</w:t>
      </w:r>
    </w:p>
    <w:p w:rsidR="00702A11" w:rsidRDefault="00702A11" w:rsidP="00702A11">
      <w:pPr>
        <w:spacing w:after="0" w:line="240" w:lineRule="auto"/>
        <w:jc w:val="both"/>
        <w:rPr>
          <w:rFonts w:ascii="Times New Roman" w:eastAsiaTheme="minorHAnsi" w:hAnsi="Times New Roman" w:cs="Times New Roman"/>
          <w:lang w:val="lt-LT" w:eastAsia="en-US"/>
        </w:rPr>
      </w:pPr>
    </w:p>
    <w:p w:rsidR="00702A11" w:rsidRDefault="00702A11" w:rsidP="00702A11">
      <w:pPr>
        <w:spacing w:after="0" w:line="240" w:lineRule="auto"/>
        <w:jc w:val="both"/>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Laikyti ne aukštesnėje kaip 25 °C temperatūroje. </w:t>
      </w:r>
    </w:p>
    <w:p w:rsidR="00702A11" w:rsidRDefault="00702A11" w:rsidP="00702A11">
      <w:pPr>
        <w:spacing w:after="0" w:line="240" w:lineRule="auto"/>
        <w:jc w:val="both"/>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Laikyti gamintojo pakuotėje, kad vaistas būtų apsaugotas nuo drėgmės.</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Ant dėžutės po „EXP“ ir ant lizdinės plokštelės nurodytam tinkamumo laikui pasibaigus, šio vaisto vartoti negalima. Vaistas tinkamas vartoti iki paskutinės nurodyto mėnesio dienos.</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Vaistų negalima išmesti į kanalizaciją arba su buitinėmis atliekomis. Kaip išmesti nereikalingus vaistus, klauskite vaistininko. Šios priemonės padės apsaugoti aplinką.</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imes New Roman" w:hAnsi="Times New Roman" w:cs="Times New Roman"/>
          <w:lang w:val="lt-LT" w:eastAsia="lt-LT"/>
        </w:rPr>
      </w:pPr>
    </w:p>
    <w:p w:rsidR="00702A11" w:rsidRDefault="00702A11" w:rsidP="00702A11">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9" w:name="_Toc129243144"/>
      <w:bookmarkStart w:id="10" w:name="_Toc129243269"/>
      <w:r>
        <w:rPr>
          <w:rFonts w:ascii="Times New Roman" w:eastAsiaTheme="minorHAnsi" w:hAnsi="Times New Roman" w:cs="Times New Roman"/>
          <w:b/>
          <w:lang w:val="lt-LT" w:eastAsia="en-US"/>
        </w:rPr>
        <w:t>6.</w:t>
      </w:r>
      <w:r>
        <w:rPr>
          <w:rFonts w:ascii="Times New Roman" w:eastAsiaTheme="minorHAnsi" w:hAnsi="Times New Roman" w:cs="Times New Roman"/>
          <w:b/>
          <w:lang w:val="lt-LT" w:eastAsia="en-US"/>
        </w:rPr>
        <w:tab/>
      </w:r>
      <w:bookmarkEnd w:id="9"/>
      <w:bookmarkEnd w:id="10"/>
      <w:r>
        <w:rPr>
          <w:rFonts w:ascii="Times New Roman" w:eastAsiaTheme="minorHAnsi" w:hAnsi="Times New Roman" w:cs="Times New Roman"/>
          <w:b/>
          <w:lang w:val="lt-LT" w:eastAsia="en-US"/>
        </w:rPr>
        <w:t>Pakuotės turinys ir kita informacija</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tabs>
          <w:tab w:val="left" w:pos="567"/>
        </w:tabs>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Amoksiklav sudėtis</w:t>
      </w:r>
    </w:p>
    <w:p w:rsidR="00702A11" w:rsidRDefault="00702A11" w:rsidP="00702A11">
      <w:pPr>
        <w:tabs>
          <w:tab w:val="left" w:pos="567"/>
        </w:tabs>
        <w:spacing w:after="0" w:line="240" w:lineRule="auto"/>
        <w:rPr>
          <w:rFonts w:ascii="Times New Roman" w:eastAsiaTheme="minorHAnsi" w:hAnsi="Times New Roman" w:cs="Times New Roman"/>
          <w:u w:val="single"/>
          <w:lang w:val="lt-LT" w:eastAsia="en-US"/>
        </w:rPr>
      </w:pPr>
      <w:r>
        <w:rPr>
          <w:rFonts w:ascii="Times New Roman" w:eastAsiaTheme="minorHAnsi" w:hAnsi="Times New Roman" w:cs="Times New Roman"/>
          <w:lang w:val="lt-LT" w:eastAsia="en-US"/>
        </w:rPr>
        <w:t>-</w:t>
      </w:r>
      <w:r>
        <w:rPr>
          <w:rFonts w:ascii="Times New Roman" w:eastAsiaTheme="minorHAnsi" w:hAnsi="Times New Roman" w:cs="Times New Roman"/>
          <w:lang w:val="lt-LT" w:eastAsia="en-US"/>
        </w:rPr>
        <w:tab/>
        <w:t>Veikliosios medžiagos yra amoksicilinas ir klavulano rūgštis.</w:t>
      </w:r>
    </w:p>
    <w:p w:rsidR="00702A11" w:rsidRDefault="00702A11" w:rsidP="00702A11">
      <w:pPr>
        <w:tabs>
          <w:tab w:val="left" w:pos="567"/>
        </w:tabs>
        <w:spacing w:after="0" w:line="240" w:lineRule="auto"/>
        <w:ind w:left="540"/>
        <w:rPr>
          <w:rFonts w:ascii="Times New Roman" w:eastAsiaTheme="minorHAnsi" w:hAnsi="Times New Roman" w:cs="Times New Roman"/>
          <w:i/>
          <w:lang w:val="lt-LT" w:eastAsia="en-US"/>
        </w:rPr>
      </w:pPr>
      <w:r>
        <w:rPr>
          <w:rFonts w:ascii="Times New Roman" w:eastAsiaTheme="minorHAnsi" w:hAnsi="Times New Roman" w:cs="Times New Roman"/>
          <w:lang w:val="lt-LT" w:eastAsia="en-US"/>
        </w:rPr>
        <w:t>Kiekvienoje Amoksiklav 500 mg/125 mg tabletėje yra 500 mg amoksicilino (amoksicilino trihidrato pavidalu) ir 125 mg klavulano rūgšties (kalio klavulanato pavidalu).</w:t>
      </w:r>
    </w:p>
    <w:p w:rsidR="00702A11" w:rsidRDefault="00702A11" w:rsidP="00702A11">
      <w:pPr>
        <w:tabs>
          <w:tab w:val="left" w:pos="567"/>
        </w:tabs>
        <w:spacing w:after="0" w:line="240" w:lineRule="auto"/>
        <w:ind w:left="540"/>
        <w:rPr>
          <w:rFonts w:ascii="Times New Roman" w:eastAsiaTheme="minorHAnsi" w:hAnsi="Times New Roman" w:cs="Times New Roman"/>
          <w:i/>
          <w:lang w:val="lt-LT" w:eastAsia="en-US"/>
        </w:rPr>
      </w:pPr>
      <w:r>
        <w:rPr>
          <w:rFonts w:ascii="Times New Roman" w:eastAsiaTheme="minorHAnsi" w:hAnsi="Times New Roman" w:cs="Times New Roman"/>
          <w:lang w:val="lt-LT" w:eastAsia="en-US"/>
        </w:rPr>
        <w:t>Kiekvienoje Amoksiklav 875 mg/125 mg tabletėje yra 875 mg amoksicilino (amoksicilino trihidrato pavidalu) ir 125 mg klavulano rūgšties (kalio klavulanato pavidalu).</w:t>
      </w:r>
    </w:p>
    <w:p w:rsidR="00702A11" w:rsidRDefault="00702A11" w:rsidP="00702A11">
      <w:pPr>
        <w:tabs>
          <w:tab w:val="left" w:pos="567"/>
        </w:tabs>
        <w:spacing w:after="0" w:line="240" w:lineRule="auto"/>
        <w:ind w:left="540" w:hanging="540"/>
        <w:rPr>
          <w:rFonts w:ascii="Times New Roman" w:eastAsiaTheme="minorHAnsi" w:hAnsi="Times New Roman" w:cs="Times New Roman"/>
          <w:i/>
          <w:lang w:val="lt-LT" w:eastAsia="en-US"/>
        </w:rPr>
      </w:pPr>
      <w:r>
        <w:rPr>
          <w:rFonts w:ascii="Times New Roman" w:eastAsiaTheme="minorHAnsi" w:hAnsi="Times New Roman" w:cs="Times New Roman"/>
          <w:lang w:val="lt-LT" w:eastAsia="en-US"/>
        </w:rPr>
        <w:t>-</w:t>
      </w:r>
      <w:r>
        <w:rPr>
          <w:rFonts w:ascii="Times New Roman" w:eastAsiaTheme="minorHAnsi" w:hAnsi="Times New Roman" w:cs="Times New Roman"/>
          <w:lang w:val="lt-LT" w:eastAsia="en-US"/>
        </w:rPr>
        <w:tab/>
        <w:t xml:space="preserve">Pagalbinės medžiagos. Tabletės </w:t>
      </w:r>
      <w:r>
        <w:rPr>
          <w:rFonts w:ascii="Times New Roman" w:eastAsiaTheme="minorHAnsi" w:hAnsi="Times New Roman" w:cs="Times New Roman"/>
          <w:u w:val="single"/>
          <w:lang w:val="lt-LT" w:eastAsia="en-US"/>
        </w:rPr>
        <w:t>šerdyje</w:t>
      </w:r>
      <w:r>
        <w:rPr>
          <w:rFonts w:ascii="Times New Roman" w:eastAsiaTheme="minorHAnsi" w:hAnsi="Times New Roman" w:cs="Times New Roman"/>
          <w:lang w:val="lt-LT" w:eastAsia="en-US"/>
        </w:rPr>
        <w:t xml:space="preserve"> yra koloidinis bevandenis silicio dioksidas, krospovidonas, kroskarmeliozės natrio druska, magnio stearatas, mikrokristalinė celiuliozė; </w:t>
      </w:r>
      <w:r>
        <w:rPr>
          <w:rFonts w:ascii="Times New Roman" w:eastAsiaTheme="minorHAnsi" w:hAnsi="Times New Roman" w:cs="Times New Roman"/>
          <w:u w:val="single"/>
          <w:lang w:val="lt-LT" w:eastAsia="en-US"/>
        </w:rPr>
        <w:t>plėvelėje</w:t>
      </w:r>
      <w:r>
        <w:rPr>
          <w:rFonts w:ascii="Times New Roman" w:eastAsiaTheme="minorHAnsi" w:hAnsi="Times New Roman" w:cs="Times New Roman"/>
          <w:lang w:val="lt-LT" w:eastAsia="en-US"/>
        </w:rPr>
        <w:t xml:space="preserve"> - hidroksipropilceliuliozė, etilceliuliozė, polisorbatas 80, trietilo citratas, titano dioksidas (</w:t>
      </w:r>
      <w:r>
        <w:rPr>
          <w:rFonts w:ascii="Times New Roman" w:eastAsia="Times New Roman" w:hAnsi="Times New Roman" w:cs="Times New Roman"/>
          <w:lang w:val="lt-LT" w:eastAsia="lt-LT"/>
        </w:rPr>
        <w:t>E171</w:t>
      </w:r>
      <w:r>
        <w:rPr>
          <w:rFonts w:ascii="Times New Roman" w:eastAsiaTheme="minorHAnsi" w:hAnsi="Times New Roman" w:cs="Times New Roman"/>
          <w:lang w:val="lt-LT" w:eastAsia="en-US"/>
        </w:rPr>
        <w:t>), talkas.</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tabs>
          <w:tab w:val="left" w:pos="567"/>
        </w:tabs>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Amoksiklav išvaizda ir kiekis pakuotėje</w:t>
      </w:r>
    </w:p>
    <w:p w:rsidR="00702A11" w:rsidRDefault="00702A11" w:rsidP="00702A11">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500 mg/125 mg yra baltos arba balkšvos, ovalios, abipusiai išgaubtos, plėvele dengtos tabletės.</w:t>
      </w:r>
    </w:p>
    <w:p w:rsidR="00702A11" w:rsidRDefault="00702A11" w:rsidP="00702A11">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875 mg/125 mg yra baltos arba balkšvos, pailgos, nuožulniais kraštais, plėvele dengtos tabletės. Vienoje jų pusėje yra įranta ir įspaustas ženklas „875/125“, kitoje – „AMC“. Vagelė skirta tik tabletei perlaužti, kad būtų lengviau nuryti, bet ne jai padalyti į lygias dozes.</w:t>
      </w:r>
    </w:p>
    <w:p w:rsidR="00702A11" w:rsidRDefault="00702A11" w:rsidP="00702A11">
      <w:pPr>
        <w:tabs>
          <w:tab w:val="left" w:pos="567"/>
        </w:tabs>
        <w:spacing w:after="0" w:line="240" w:lineRule="auto"/>
        <w:jc w:val="both"/>
        <w:rPr>
          <w:rFonts w:ascii="Times New Roman" w:eastAsiaTheme="minorHAnsi" w:hAnsi="Times New Roman" w:cs="Times New Roman"/>
          <w:lang w:val="lt-LT" w:eastAsia="en-US"/>
        </w:rPr>
      </w:pPr>
    </w:p>
    <w:p w:rsidR="00702A11" w:rsidRDefault="00702A11" w:rsidP="00702A11">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500 mg/125 mg plėvele dengtos tabletės</w:t>
      </w:r>
    </w:p>
    <w:p w:rsidR="00702A11" w:rsidRDefault="00702A11" w:rsidP="00702A11">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Kartono dėžutėje yra dvi lizdinės plokštelės. Kiekvienoje jų yra 5 plėvele dengtos tabletės (10 tablečių).</w:t>
      </w:r>
    </w:p>
    <w:p w:rsidR="00702A11" w:rsidRDefault="00702A11" w:rsidP="00702A11">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Kartono dėžutėje yra dvi lizdinės plokštelės. Kiekvienoje jų yra 7 plėvele dengtos tabletės (14 tablečių).</w:t>
      </w:r>
    </w:p>
    <w:p w:rsidR="00702A11" w:rsidRDefault="00702A11" w:rsidP="00702A11">
      <w:pPr>
        <w:tabs>
          <w:tab w:val="left" w:pos="567"/>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Kartono dėžutėje yra keturios lizdinės plokštelės. Kiekvienoje jų yra 5 plėvele dengtos tabletės (20 tablečių).</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875 mg/125 mg plėvele dengtos tabletės</w:t>
      </w:r>
    </w:p>
    <w:p w:rsidR="00702A11" w:rsidRDefault="00702A11" w:rsidP="00702A11">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Kartono dėžutėje yra dvi lizdinės plokštelės. Kiekvienoje jų yra 5 plėvele dengtos tabletės (10 tablečių).</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Kartono dėžutėje yra dvi lizdinės plokštelės. Kiekvienoje jų yra 7 plėvele dengtos tabletės (14 tablečių).</w:t>
      </w:r>
    </w:p>
    <w:p w:rsidR="00702A11" w:rsidRDefault="00702A11" w:rsidP="00702A11">
      <w:pPr>
        <w:tabs>
          <w:tab w:val="left" w:pos="567"/>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Kartono dėžutėje yra keturios lizdinės plokštelės. Kiekvienoje jų yra 5 plėvele dengtos tabletės (20 tablečių).</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Gali būti tiekiamos ne visų dydžių pakuotės.</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tabs>
          <w:tab w:val="left" w:pos="567"/>
        </w:tabs>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Registruotojas</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Sandoz d.d.</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Verovškova 57</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1000 Ljubljana</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Slovėnija</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Gamintojas</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Lek Pharmaceuticals d.d.</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Verovškova 57</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1526 Ljubljana</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Slovėnija</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arba</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tabs>
          <w:tab w:val="left" w:pos="567"/>
        </w:tabs>
        <w:spacing w:after="0" w:line="240" w:lineRule="auto"/>
        <w:jc w:val="both"/>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Lek Pharmaceuticals d.d.</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Penicillin production plant</w:t>
      </w:r>
    </w:p>
    <w:p w:rsidR="00702A11" w:rsidRDefault="00702A11" w:rsidP="00702A11">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lastRenderedPageBreak/>
        <w:t>Perzonali 47,</w:t>
      </w:r>
    </w:p>
    <w:p w:rsidR="00702A11" w:rsidRDefault="00702A11" w:rsidP="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SI-2391 Prevalje</w:t>
      </w:r>
    </w:p>
    <w:p w:rsidR="00702A11" w:rsidRDefault="00702A11" w:rsidP="00702A11">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Slovėnija</w:t>
      </w:r>
    </w:p>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Jeigu apie šį vaistą norite sužinoti daugiau, kreipkitės į vietinį registruotojo atstovą.</w:t>
      </w:r>
    </w:p>
    <w:p w:rsidR="00702A11" w:rsidRDefault="00702A11" w:rsidP="00702A11">
      <w:pPr>
        <w:spacing w:after="0" w:line="240" w:lineRule="auto"/>
        <w:rPr>
          <w:rFonts w:ascii="Times New Roman" w:eastAsiaTheme="minorHAnsi" w:hAnsi="Times New Roman" w:cs="Times New Roman"/>
          <w:lang w:val="lt-LT" w:eastAsia="en-US"/>
        </w:rPr>
      </w:pPr>
    </w:p>
    <w:tbl>
      <w:tblPr>
        <w:tblW w:w="4680" w:type="dxa"/>
        <w:tblInd w:w="-34" w:type="dxa"/>
        <w:tblLayout w:type="fixed"/>
        <w:tblLook w:val="04A0" w:firstRow="1" w:lastRow="0" w:firstColumn="1" w:lastColumn="0" w:noHBand="0" w:noVBand="1"/>
      </w:tblPr>
      <w:tblGrid>
        <w:gridCol w:w="4680"/>
      </w:tblGrid>
      <w:tr w:rsidR="00702A11" w:rsidTr="00702A11">
        <w:tc>
          <w:tcPr>
            <w:tcW w:w="4678" w:type="dxa"/>
            <w:hideMark/>
          </w:tcPr>
          <w:p w:rsidR="00702A11" w:rsidRDefault="00702A11">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Sandoz Pharmaceuticals d.d. filialas</w:t>
            </w:r>
          </w:p>
          <w:p w:rsidR="00702A11" w:rsidRDefault="00702A11">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Šeimyniškių 3A,</w:t>
            </w:r>
          </w:p>
          <w:p w:rsidR="00702A11" w:rsidRDefault="00702A11">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Vilnius LT-09312, Lietuva</w:t>
            </w:r>
            <w:r>
              <w:rPr>
                <w:rFonts w:ascii="Times New Roman" w:eastAsiaTheme="minorHAnsi" w:hAnsi="Times New Roman" w:cs="Times New Roman"/>
                <w:lang w:val="lt-LT" w:eastAsia="en-US"/>
              </w:rPr>
              <w:br/>
              <w:t>Tel. +370 5 2636 037</w:t>
            </w:r>
          </w:p>
          <w:p w:rsidR="00702A11" w:rsidRDefault="00702A11">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Nemokama linija pacientams +370 800 00877</w:t>
            </w:r>
          </w:p>
          <w:p w:rsidR="00702A11" w:rsidRDefault="00702A11">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Faksas +370 5 2636 036</w:t>
            </w:r>
          </w:p>
          <w:p w:rsidR="00702A11" w:rsidRDefault="00702A11">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 xml:space="preserve">El. pašto adresas: </w:t>
            </w:r>
            <w:hyperlink r:id="rId9" w:history="1">
              <w:r>
                <w:rPr>
                  <w:rStyle w:val="Hyperlink"/>
                  <w:rFonts w:ascii="Times New Roman" w:eastAsiaTheme="minorHAnsi" w:hAnsi="Times New Roman" w:cs="Times New Roman"/>
                  <w:color w:val="auto"/>
                  <w:u w:val="none"/>
                  <w:lang w:val="lt-LT" w:eastAsia="en-US"/>
                </w:rPr>
                <w:t>info.lithuania@sandoz.com</w:t>
              </w:r>
            </w:hyperlink>
          </w:p>
        </w:tc>
      </w:tr>
    </w:tbl>
    <w:p w:rsidR="00702A11" w:rsidRDefault="00702A11" w:rsidP="00702A11">
      <w:pPr>
        <w:spacing w:after="0" w:line="240" w:lineRule="auto"/>
        <w:rPr>
          <w:rFonts w:ascii="Times New Roman" w:eastAsiaTheme="minorHAnsi" w:hAnsi="Times New Roman" w:cs="Times New Roman"/>
          <w:lang w:val="lt-LT" w:eastAsia="en-US"/>
        </w:rPr>
      </w:pPr>
    </w:p>
    <w:p w:rsidR="00702A11" w:rsidRDefault="00702A11" w:rsidP="00702A11">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Šis pakuotės lapelis paskutinį kartą peržiūrėtas 2018-05-30.</w:t>
      </w:r>
    </w:p>
    <w:p w:rsidR="00702A11" w:rsidRDefault="00702A11" w:rsidP="00702A11">
      <w:pPr>
        <w:spacing w:after="0" w:line="240" w:lineRule="auto"/>
        <w:rPr>
          <w:rFonts w:ascii="Times New Roman" w:eastAsia="Times New Roman" w:hAnsi="Times New Roman" w:cs="Times New Roman"/>
          <w:b/>
          <w:lang w:val="lt-LT" w:eastAsia="lt-LT"/>
        </w:rPr>
      </w:pPr>
    </w:p>
    <w:p w:rsidR="00702A11" w:rsidRDefault="00702A11" w:rsidP="00702A11">
      <w:pPr>
        <w:spacing w:after="0" w:line="240" w:lineRule="auto"/>
        <w:outlineLvl w:val="5"/>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Išsami informacija apie šį vaistą pateikiama Valstybinės vaistų kontrolės tarnybos prie Lietuvos Respublikos sveikatos apsaugos ministerijos tinklalapyje</w:t>
      </w:r>
      <w:r>
        <w:rPr>
          <w:rFonts w:ascii="Times New Roman" w:hAnsi="Times New Roman"/>
          <w:i/>
          <w:lang w:val="lt-LT"/>
        </w:rPr>
        <w:t xml:space="preserve"> </w:t>
      </w:r>
      <w:hyperlink r:id="rId10" w:history="1">
        <w:r>
          <w:rPr>
            <w:rStyle w:val="Hyperlink"/>
            <w:color w:val="auto"/>
            <w:u w:val="none"/>
          </w:rPr>
          <w:t>http://www.</w:t>
        </w:r>
        <w:r>
          <w:rPr>
            <w:rStyle w:val="Hyperlink"/>
            <w:rFonts w:ascii="Times New Roman" w:eastAsiaTheme="minorHAnsi" w:hAnsi="Times New Roman" w:cs="Times New Roman"/>
            <w:color w:val="auto"/>
            <w:u w:val="none"/>
            <w:lang w:val="lt-LT" w:eastAsia="en-US"/>
          </w:rPr>
          <w:t>vvkt.lt/</w:t>
        </w:r>
      </w:hyperlink>
      <w:r>
        <w:rPr>
          <w:rFonts w:ascii="Times New Roman" w:eastAsiaTheme="minorHAnsi" w:hAnsi="Times New Roman" w:cs="Times New Roman"/>
          <w:lang w:val="lt-LT" w:eastAsia="en-US"/>
        </w:rPr>
        <w:t>.</w:t>
      </w:r>
      <w:bookmarkEnd w:id="7"/>
      <w:bookmarkEnd w:id="8"/>
    </w:p>
    <w:p w:rsidR="00702A11" w:rsidRDefault="00702A11" w:rsidP="00702A11">
      <w:pPr>
        <w:spacing w:after="0" w:line="240" w:lineRule="auto"/>
        <w:outlineLvl w:val="5"/>
        <w:rPr>
          <w:rFonts w:ascii="Times New Roman" w:eastAsiaTheme="minorHAnsi" w:hAnsi="Times New Roman" w:cs="Times New Roman"/>
          <w:b/>
          <w:lang w:val="lt-LT" w:eastAsia="en-US"/>
        </w:rPr>
      </w:pP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b/>
          <w:lang w:val="lt-LT" w:eastAsia="en-US"/>
        </w:rPr>
      </w:pP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lang w:val="lt-LT" w:eastAsia="lt-LT"/>
        </w:rPr>
      </w:pPr>
      <w:r>
        <w:rPr>
          <w:rFonts w:ascii="Times New Roman" w:eastAsiaTheme="minorHAnsi" w:hAnsi="Times New Roman" w:cs="Times New Roman"/>
          <w:b/>
          <w:lang w:val="lt-LT" w:eastAsia="en-US"/>
        </w:rPr>
        <w:t>Patarimas/medicininis švietimas</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Antibiotikais gydomos bakterijų sukeliamos infekcinės ligos. Jie neveikia virusų sukeltų infekcinių ligų.</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 xml:space="preserve">Kartais infekcinės ligos, kurias sukėlė bakterijos, nereaguoja į antibiotikų kursą. </w:t>
      </w:r>
      <w:r>
        <w:rPr>
          <w:rFonts w:ascii="Times New Roman" w:eastAsia="Times New Roman" w:hAnsi="Times New Roman" w:cs="Times New Roman"/>
          <w:lang w:val="lt-LT" w:eastAsia="en-US"/>
        </w:rPr>
        <w:t>Viena iš dažniausių</w:t>
      </w:r>
      <w:r>
        <w:rPr>
          <w:rFonts w:ascii="Times New Roman" w:eastAsiaTheme="minorHAnsi" w:hAnsi="Times New Roman" w:cs="Times New Roman"/>
          <w:lang w:val="lt-LT" w:eastAsia="en-US"/>
        </w:rPr>
        <w:t xml:space="preserve"> šio reiškinio priežasčių yra ta, kad bakterijos, kurios sukelia infekcines ligas, yra atsparios vartojamam antibiotikui. Tai reiškia, kad jos išgyvena ir net dauginasi, nepaisant antibiotiko vartojimo.</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Bakterijos gali tapti atspariomis antibiotikams dėl įvairių priežasčių. Atidus antibiotikų vartojimas</w:t>
      </w:r>
      <w:r>
        <w:rPr>
          <w:rFonts w:ascii="Times New Roman" w:eastAsia="Times New Roman" w:hAnsi="Times New Roman" w:cs="Times New Roman"/>
          <w:lang w:val="lt-LT" w:eastAsia="en-US"/>
        </w:rPr>
        <w:t xml:space="preserve"> </w:t>
      </w:r>
      <w:r>
        <w:rPr>
          <w:rFonts w:ascii="Times New Roman" w:eastAsiaTheme="minorHAnsi" w:hAnsi="Times New Roman" w:cs="Times New Roman"/>
          <w:lang w:val="lt-LT" w:eastAsia="en-US"/>
        </w:rPr>
        <w:t>gali padėti sumažinti bakterijų atsparumo jiems atsiradimo tikimybę.</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 xml:space="preserve">Jeigu gydytojas skiria antibiotikų kursą, tai ketina gydyti tik ligą, kuria sergate šiuo metu. Išvardytų </w:t>
      </w:r>
      <w:r>
        <w:rPr>
          <w:rFonts w:ascii="Times New Roman" w:eastAsia="Times New Roman" w:hAnsi="Times New Roman" w:cs="Times New Roman"/>
          <w:lang w:val="lt-LT" w:eastAsia="en-US"/>
        </w:rPr>
        <w:t>rekomendacijų paisymas padės išvengti atsparių bakterijų, kurios padaro antibiotiką neveiksmingu,</w:t>
      </w:r>
      <w:r>
        <w:rPr>
          <w:rFonts w:ascii="Times New Roman" w:eastAsiaTheme="minorHAnsi" w:hAnsi="Times New Roman" w:cs="Times New Roman"/>
          <w:lang w:val="lt-LT" w:eastAsia="en-US"/>
        </w:rPr>
        <w:t xml:space="preserve"> atsiradimo.</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1. Labai svarbu, kad vartotumėte teisingą antibiotiko dozę reikiamu laiku tiek dienų, kiek paskirta.</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Perskaitykite vartojimo instrukciją etiketėje ir, jeigu ko nors nesupratote, paprašykite gydytojo arba vaistininko, kad paaiškintų.</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2. Antibiotiko vartoti negalima, jeigu jis nepaskirtas būtent Jums. Antibiotiką galima vartoti tik tai infekcinei ligai gydyti, kurios gydymui jis buvo paskirtas.</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3. Antibiotikų, kurie buvo paskirti kitiems žmonėms, vartoti negalima, net jeigu jie sirgo panašia infekcine liga, kaip Jūs.</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4. Antibiotikų, kurie buvo paskirti Jums, perduoti vartoti kitiems žmonėms negalima.</w:t>
      </w:r>
    </w:p>
    <w:p w:rsidR="00702A11" w:rsidRDefault="00702A11" w:rsidP="00702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5. Jeigu vartojant pagal gydytojo nurodymus baigus kursą liko antibiotiko, likučius reikia grąžinti į</w:t>
      </w:r>
      <w:r>
        <w:rPr>
          <w:rFonts w:ascii="Times New Roman" w:eastAsia="Times New Roman" w:hAnsi="Times New Roman" w:cs="Times New Roman"/>
          <w:lang w:val="lt-LT" w:eastAsia="en-US"/>
        </w:rPr>
        <w:t xml:space="preserve"> vaistinę tinkamam sunaikinimui.</w:t>
      </w:r>
    </w:p>
    <w:p w:rsidR="00702A11" w:rsidRDefault="00702A11" w:rsidP="00702A11">
      <w:pPr>
        <w:rPr>
          <w:rFonts w:ascii="Arial" w:hAnsi="Arial"/>
          <w:sz w:val="20"/>
          <w:lang w:val="lt-LT"/>
        </w:rPr>
      </w:pPr>
    </w:p>
    <w:p w:rsidR="00210BDB" w:rsidRDefault="00210BDB"/>
    <w:sectPr w:rsidR="0021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227BF3"/>
    <w:multiLevelType w:val="hybridMultilevel"/>
    <w:tmpl w:val="F4A4DF6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
    <w:nsid w:val="03823ED7"/>
    <w:multiLevelType w:val="hybridMultilevel"/>
    <w:tmpl w:val="DE38910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nsid w:val="09930F89"/>
    <w:multiLevelType w:val="hybridMultilevel"/>
    <w:tmpl w:val="B02AB618"/>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nsid w:val="09936BA1"/>
    <w:multiLevelType w:val="hybridMultilevel"/>
    <w:tmpl w:val="A29CDED8"/>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0D313B37"/>
    <w:multiLevelType w:val="hybridMultilevel"/>
    <w:tmpl w:val="E31C4178"/>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6">
    <w:nsid w:val="174146BF"/>
    <w:multiLevelType w:val="hybridMultilevel"/>
    <w:tmpl w:val="7DF0E200"/>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7">
    <w:nsid w:val="35DC67A3"/>
    <w:multiLevelType w:val="hybridMultilevel"/>
    <w:tmpl w:val="656A0210"/>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nsid w:val="37445ADB"/>
    <w:multiLevelType w:val="hybridMultilevel"/>
    <w:tmpl w:val="8D4C2FE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9">
    <w:nsid w:val="43B40B23"/>
    <w:multiLevelType w:val="hybridMultilevel"/>
    <w:tmpl w:val="F24CE7CE"/>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0">
    <w:nsid w:val="52D03361"/>
    <w:multiLevelType w:val="hybridMultilevel"/>
    <w:tmpl w:val="BE72AB1C"/>
    <w:lvl w:ilvl="0" w:tplc="53E6EF1A">
      <w:start w:val="4"/>
      <w:numFmt w:val="bullet"/>
      <w:lvlText w:val=""/>
      <w:lvlJc w:val="left"/>
      <w:pPr>
        <w:ind w:left="720" w:hanging="360"/>
      </w:pPr>
      <w:rPr>
        <w:rFonts w:ascii="Symbol" w:eastAsia="Times New Roman"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53EB2623"/>
    <w:multiLevelType w:val="hybridMultilevel"/>
    <w:tmpl w:val="9F8674F4"/>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2">
    <w:nsid w:val="69A064A7"/>
    <w:multiLevelType w:val="hybridMultilevel"/>
    <w:tmpl w:val="2BB2C6C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3">
    <w:nsid w:val="6C653279"/>
    <w:multiLevelType w:val="hybridMultilevel"/>
    <w:tmpl w:val="1A6288CA"/>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4">
    <w:nsid w:val="78F81B92"/>
    <w:multiLevelType w:val="hybridMultilevel"/>
    <w:tmpl w:val="BCDA95C8"/>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2"/>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11"/>
    <w:rsid w:val="00210BDB"/>
    <w:rsid w:val="0070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11"/>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11"/>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mailto:info.lithuania@sando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2019-07-16T10:28:00Z</dcterms:created>
  <dcterms:modified xsi:type="dcterms:W3CDTF">2019-07-16T10:28:00Z</dcterms:modified>
</cp:coreProperties>
</file>