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84" w:rsidRDefault="00024F84" w:rsidP="00024F84">
      <w:pPr>
        <w:pStyle w:val="Heading2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2"/>
          <w:szCs w:val="22"/>
          <w:lang w:val="lt-LT"/>
        </w:rPr>
      </w:pPr>
      <w:r>
        <w:rPr>
          <w:rFonts w:ascii="Times New Roman" w:hAnsi="Times New Roman"/>
          <w:i w:val="0"/>
          <w:sz w:val="22"/>
          <w:szCs w:val="22"/>
          <w:lang w:val="lt-LT"/>
        </w:rPr>
        <w:t>Pakuotės lapelis:</w:t>
      </w:r>
      <w:r>
        <w:rPr>
          <w:rFonts w:ascii="Times New Roman" w:hAnsi="Times New Roman"/>
          <w:bCs w:val="0"/>
          <w:i w:val="0"/>
          <w:iCs w:val="0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lt-LT"/>
        </w:rPr>
        <w:t>informacija pacientui</w:t>
      </w:r>
    </w:p>
    <w:p w:rsidR="00024F84" w:rsidRDefault="00024F84" w:rsidP="00024F84">
      <w:pPr>
        <w:numPr>
          <w:ilvl w:val="12"/>
          <w:numId w:val="0"/>
        </w:numPr>
        <w:shd w:val="clear" w:color="auto" w:fill="FFFFFF"/>
        <w:tabs>
          <w:tab w:val="clear" w:pos="567"/>
          <w:tab w:val="left" w:pos="720"/>
        </w:tabs>
        <w:spacing w:line="240" w:lineRule="auto"/>
        <w:jc w:val="center"/>
        <w:rPr>
          <w:szCs w:val="22"/>
          <w:lang w:val="lt-LT"/>
        </w:rPr>
      </w:pPr>
    </w:p>
    <w:p w:rsidR="00024F84" w:rsidRDefault="00024F84" w:rsidP="00024F84">
      <w:pPr>
        <w:jc w:val="center"/>
        <w:rPr>
          <w:b/>
          <w:szCs w:val="22"/>
          <w:lang w:val="lt-LT"/>
        </w:rPr>
      </w:pPr>
      <w:bookmarkStart w:id="0" w:name="_GoBack"/>
      <w:r>
        <w:rPr>
          <w:b/>
          <w:noProof/>
          <w:szCs w:val="22"/>
          <w:lang w:val="lt-LT"/>
        </w:rPr>
        <w:t>Helituspan</w:t>
      </w:r>
      <w:bookmarkEnd w:id="0"/>
      <w:r>
        <w:rPr>
          <w:b/>
          <w:noProof/>
          <w:szCs w:val="22"/>
          <w:lang w:val="lt-LT"/>
        </w:rPr>
        <w:t xml:space="preserve"> 7 mg/ml sirupas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jc w:val="center"/>
        <w:rPr>
          <w:szCs w:val="22"/>
          <w:lang w:val="lt-LT"/>
        </w:rPr>
      </w:pPr>
      <w:r>
        <w:rPr>
          <w:szCs w:val="22"/>
          <w:lang w:val="lt-LT"/>
        </w:rPr>
        <w:t>Gebenių lapų sausasis ekstraktas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jc w:val="center"/>
        <w:rPr>
          <w:szCs w:val="22"/>
          <w:lang w:val="lt-LT"/>
        </w:rPr>
      </w:pPr>
      <w:r>
        <w:rPr>
          <w:szCs w:val="22"/>
          <w:lang w:val="lt-LT"/>
        </w:rPr>
        <w:t>(</w:t>
      </w:r>
      <w:r>
        <w:rPr>
          <w:i/>
          <w:iCs/>
          <w:szCs w:val="22"/>
          <w:lang w:val="lt-LT"/>
        </w:rPr>
        <w:t xml:space="preserve">Hedera helix </w:t>
      </w:r>
      <w:r>
        <w:rPr>
          <w:i/>
          <w:szCs w:val="22"/>
          <w:lang w:val="lt-LT"/>
        </w:rPr>
        <w:t>L.</w:t>
      </w:r>
      <w:r>
        <w:rPr>
          <w:szCs w:val="22"/>
          <w:lang w:val="lt-LT"/>
        </w:rPr>
        <w:t xml:space="preserve">, </w:t>
      </w:r>
      <w:r>
        <w:rPr>
          <w:i/>
          <w:szCs w:val="22"/>
          <w:lang w:val="lt-LT"/>
        </w:rPr>
        <w:t>folium</w:t>
      </w:r>
      <w:r>
        <w:rPr>
          <w:szCs w:val="22"/>
          <w:lang w:val="lt-LT"/>
        </w:rPr>
        <w:t xml:space="preserve"> sausasis ekstraktas)</w:t>
      </w: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b/>
          <w:szCs w:val="22"/>
          <w:lang w:val="lt-LT"/>
        </w:rPr>
      </w:pPr>
      <w:r>
        <w:rPr>
          <w:b/>
          <w:noProof/>
          <w:szCs w:val="22"/>
          <w:lang w:val="lt-LT"/>
        </w:rPr>
        <w:t>Atidžiai perskaitykite visą šį lapelį, prieš pradėdami vartoti šį vaistą, nes jame pateikiama Jums svarbi informacija.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  <w:r>
        <w:rPr>
          <w:noProof/>
          <w:szCs w:val="22"/>
          <w:lang w:val="lt-LT"/>
        </w:rPr>
        <w:t>Visada vartokite šį vaistą tiksliai kaip aprašyta šiame lapelyje arba kaip nurodė gydytojas arba vaistininkas.</w:t>
      </w:r>
    </w:p>
    <w:p w:rsidR="00024F84" w:rsidRDefault="00024F84" w:rsidP="00024F84">
      <w:pPr>
        <w:numPr>
          <w:ilvl w:val="0"/>
          <w:numId w:val="1"/>
        </w:numPr>
        <w:spacing w:line="240" w:lineRule="auto"/>
        <w:ind w:left="567" w:hanging="567"/>
        <w:rPr>
          <w:szCs w:val="22"/>
          <w:lang w:val="lt-LT"/>
        </w:rPr>
      </w:pPr>
      <w:r>
        <w:rPr>
          <w:noProof/>
          <w:szCs w:val="22"/>
          <w:lang w:val="lt-LT"/>
        </w:rPr>
        <w:t>Neišmeskite šio lapelio, nes vėl gali prireikti jį perskaityti.</w:t>
      </w:r>
      <w:r>
        <w:rPr>
          <w:szCs w:val="22"/>
          <w:lang w:val="lt-LT"/>
        </w:rPr>
        <w:t xml:space="preserve"> </w:t>
      </w:r>
    </w:p>
    <w:p w:rsidR="00024F84" w:rsidRDefault="00024F84" w:rsidP="00024F84">
      <w:pPr>
        <w:numPr>
          <w:ilvl w:val="0"/>
          <w:numId w:val="1"/>
        </w:numPr>
        <w:spacing w:line="240" w:lineRule="auto"/>
        <w:ind w:left="567" w:hanging="567"/>
        <w:rPr>
          <w:szCs w:val="22"/>
          <w:lang w:val="lt-LT"/>
        </w:rPr>
      </w:pPr>
      <w:r>
        <w:rPr>
          <w:noProof/>
          <w:szCs w:val="22"/>
          <w:lang w:val="lt-LT"/>
        </w:rPr>
        <w:t>Jeigu norite sužinoti daugiau arba pasitarti, kreipkitės į vaistininką.</w:t>
      </w:r>
    </w:p>
    <w:p w:rsidR="00024F84" w:rsidRDefault="00024F84" w:rsidP="00024F84">
      <w:pPr>
        <w:numPr>
          <w:ilvl w:val="0"/>
          <w:numId w:val="1"/>
        </w:numPr>
        <w:spacing w:line="240" w:lineRule="auto"/>
        <w:ind w:left="567" w:hanging="567"/>
        <w:rPr>
          <w:szCs w:val="22"/>
          <w:lang w:val="lt-LT"/>
        </w:rPr>
      </w:pPr>
      <w:r>
        <w:rPr>
          <w:noProof/>
          <w:szCs w:val="22"/>
          <w:lang w:val="lt-LT"/>
        </w:rPr>
        <w:t>Jeigu pasireiškė šalutinis poveikis (net jeigu jis šiame lapelyje nenurodytas), kreipkitės į gydytoją arba vaistininką. Žr. 4 skyrių.</w:t>
      </w:r>
    </w:p>
    <w:p w:rsidR="00024F84" w:rsidRDefault="00024F84" w:rsidP="00024F84">
      <w:pPr>
        <w:numPr>
          <w:ilvl w:val="0"/>
          <w:numId w:val="1"/>
        </w:numPr>
        <w:spacing w:line="240" w:lineRule="auto"/>
        <w:ind w:left="567" w:hanging="567"/>
        <w:rPr>
          <w:szCs w:val="22"/>
          <w:lang w:val="lt-LT"/>
        </w:rPr>
      </w:pPr>
      <w:r>
        <w:rPr>
          <w:noProof/>
          <w:szCs w:val="22"/>
          <w:lang w:val="lt-LT"/>
        </w:rPr>
        <w:t>Jeigu per 7 dienas Jūsų savijauta nepagerėjo arba net pablogėjo, kreipkitės į gydytoją.</w:t>
      </w: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Apie ką rašoma šiame lapelyje?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284"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284" w:right="-2"/>
        <w:rPr>
          <w:szCs w:val="22"/>
          <w:lang w:val="lt-LT"/>
        </w:rPr>
      </w:pPr>
      <w:r>
        <w:rPr>
          <w:szCs w:val="22"/>
          <w:lang w:val="lt-LT"/>
        </w:rPr>
        <w:t>1.</w:t>
      </w:r>
      <w:r>
        <w:rPr>
          <w:szCs w:val="22"/>
          <w:lang w:val="lt-LT"/>
        </w:rPr>
        <w:tab/>
        <w:t xml:space="preserve">Kas yra Helituspan ir kam jis vartojamas 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284" w:right="-2"/>
        <w:rPr>
          <w:szCs w:val="22"/>
          <w:lang w:val="lt-LT"/>
        </w:rPr>
      </w:pPr>
      <w:r>
        <w:rPr>
          <w:szCs w:val="22"/>
          <w:lang w:val="lt-LT"/>
        </w:rPr>
        <w:t>2.</w:t>
      </w:r>
      <w:r>
        <w:rPr>
          <w:szCs w:val="22"/>
          <w:lang w:val="lt-LT"/>
        </w:rPr>
        <w:tab/>
      </w:r>
      <w:r>
        <w:rPr>
          <w:noProof/>
          <w:szCs w:val="22"/>
          <w:lang w:val="lt-LT"/>
        </w:rPr>
        <w:t>Kas žinotina prieš vartojant Helituspan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284" w:right="-2"/>
        <w:rPr>
          <w:szCs w:val="22"/>
          <w:lang w:val="lt-LT"/>
        </w:rPr>
      </w:pPr>
      <w:r>
        <w:rPr>
          <w:szCs w:val="22"/>
          <w:lang w:val="lt-LT"/>
        </w:rPr>
        <w:t>3.</w:t>
      </w:r>
      <w:r>
        <w:rPr>
          <w:szCs w:val="22"/>
          <w:lang w:val="lt-LT"/>
        </w:rPr>
        <w:tab/>
      </w:r>
      <w:r>
        <w:rPr>
          <w:noProof/>
          <w:szCs w:val="22"/>
          <w:lang w:val="lt-LT"/>
        </w:rPr>
        <w:t>Kaip vartoti Helituspan</w:t>
      </w:r>
      <w:r>
        <w:rPr>
          <w:szCs w:val="22"/>
          <w:lang w:val="lt-LT"/>
        </w:rPr>
        <w:t xml:space="preserve"> 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284" w:right="-2"/>
        <w:rPr>
          <w:szCs w:val="22"/>
          <w:lang w:val="lt-LT"/>
        </w:rPr>
      </w:pPr>
      <w:r>
        <w:rPr>
          <w:szCs w:val="22"/>
          <w:lang w:val="lt-LT"/>
        </w:rPr>
        <w:t>4.</w:t>
      </w:r>
      <w:r>
        <w:rPr>
          <w:szCs w:val="22"/>
          <w:lang w:val="lt-LT"/>
        </w:rPr>
        <w:tab/>
        <w:t xml:space="preserve">Galimas šalutinis poveikis 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09"/>
        </w:tabs>
        <w:spacing w:line="240" w:lineRule="auto"/>
        <w:ind w:left="284" w:right="-2"/>
        <w:rPr>
          <w:szCs w:val="22"/>
          <w:lang w:val="lt-LT"/>
        </w:rPr>
      </w:pPr>
      <w:r>
        <w:rPr>
          <w:szCs w:val="22"/>
          <w:lang w:val="lt-LT"/>
        </w:rPr>
        <w:t>5.</w:t>
      </w:r>
      <w:r>
        <w:rPr>
          <w:szCs w:val="22"/>
          <w:lang w:val="lt-LT"/>
        </w:rPr>
        <w:tab/>
        <w:t xml:space="preserve">Kaip laikyti Helituspan 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left="284" w:right="-2"/>
        <w:rPr>
          <w:szCs w:val="22"/>
          <w:lang w:val="lt-LT"/>
        </w:rPr>
      </w:pPr>
      <w:r>
        <w:rPr>
          <w:szCs w:val="22"/>
          <w:lang w:val="lt-LT"/>
        </w:rPr>
        <w:t>6.</w:t>
      </w:r>
      <w:r>
        <w:rPr>
          <w:szCs w:val="22"/>
          <w:lang w:val="lt-LT"/>
        </w:rPr>
        <w:tab/>
      </w:r>
      <w:r>
        <w:rPr>
          <w:noProof/>
          <w:szCs w:val="22"/>
          <w:lang w:val="lt-LT"/>
        </w:rPr>
        <w:t>Pakuotės turinys ir kita informacija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>1.</w:t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Kas yra Helituspan ir kam jis vartojamas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 xml:space="preserve">Helituspan yra augalinis vaistinis preparatas, kurio sudėtyje yra gebenių lapų ekstrakto. Jis priklauso atsikosėjimą lengvinančių vaistų grupei. Vartojamas gleivių ir skreplių pasišalinimo iš kvėpavimo takų palengvinimui, taip palengvinamas produktyvus kosulys. 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Jei nusiskundimai nepraeina, ar pasireiškė dusulys, karščiavimas arba kruvini ar pūlingi skrepliai, reikia nedelsiant kreiptis į gydytoją!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Jeigu per 7 dienas Jūsų savijauta nepagerėjo arba net pablogėjo, kreipkitės į gydytoją.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>2.</w:t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Kas žinotina prieš vartojant Helituspan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Helituspan vartoti negalima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left="567" w:hanging="567"/>
        <w:rPr>
          <w:szCs w:val="22"/>
          <w:lang w:val="lt-LT"/>
        </w:rPr>
      </w:pPr>
      <w:r>
        <w:rPr>
          <w:szCs w:val="22"/>
          <w:lang w:val="lt-LT"/>
        </w:rPr>
        <w:t>-</w:t>
      </w:r>
      <w:r>
        <w:rPr>
          <w:szCs w:val="22"/>
          <w:lang w:val="lt-LT"/>
        </w:rPr>
        <w:tab/>
      </w:r>
      <w:r>
        <w:rPr>
          <w:noProof/>
          <w:szCs w:val="22"/>
          <w:lang w:val="lt-LT"/>
        </w:rPr>
        <w:t>jeigu yra alergija gebenių lapų ekstraktui arba gebenių (</w:t>
      </w:r>
      <w:r>
        <w:rPr>
          <w:i/>
          <w:noProof/>
          <w:szCs w:val="22"/>
          <w:lang w:val="lt-LT"/>
        </w:rPr>
        <w:t>Araliaceae)</w:t>
      </w:r>
      <w:r>
        <w:rPr>
          <w:noProof/>
          <w:szCs w:val="22"/>
          <w:lang w:val="lt-LT"/>
        </w:rPr>
        <w:t xml:space="preserve"> šeimos augalams arba bet kuriai pagalbinei šio vaisto medžiagai (jos išvardytos 6 skyriuje).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noProof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Helituspan negalima duoti vaikams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left="567" w:hanging="567"/>
        <w:rPr>
          <w:szCs w:val="22"/>
          <w:lang w:val="lt-LT"/>
        </w:rPr>
      </w:pPr>
      <w:r>
        <w:rPr>
          <w:szCs w:val="22"/>
          <w:lang w:val="lt-LT"/>
        </w:rPr>
        <w:t>-</w:t>
      </w:r>
      <w:r>
        <w:rPr>
          <w:szCs w:val="22"/>
          <w:lang w:val="lt-LT"/>
        </w:rPr>
        <w:tab/>
      </w:r>
      <w:r>
        <w:rPr>
          <w:noProof/>
          <w:szCs w:val="22"/>
          <w:lang w:val="lt-LT"/>
        </w:rPr>
        <w:t>jeigu Jūsų vaikui yra mažiau kaip 2 metai.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left="567" w:hanging="567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Įspėjimai ir atsargumo priemonės</w:t>
      </w:r>
      <w:r>
        <w:rPr>
          <w:rFonts w:ascii="Times New Roman" w:hAnsi="Times New Roman"/>
          <w:bCs w:val="0"/>
          <w:sz w:val="22"/>
          <w:szCs w:val="22"/>
          <w:lang w:val="lt-LT"/>
        </w:rPr>
        <w:t xml:space="preserve"> 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Pasitarkite su gydytoju arba vaistininku, prieš pradėdami vartoti Helituspan: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ListParagraph"/>
        <w:numPr>
          <w:ilvl w:val="0"/>
          <w:numId w:val="1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lastRenderedPageBreak/>
        <w:t>jeigu Jums yra skrandžio uždegimas (skrandžio gleivinės uždegimas) ar turite skrandžio opą;</w:t>
      </w:r>
    </w:p>
    <w:p w:rsidR="00024F84" w:rsidRDefault="00024F84" w:rsidP="00024F84">
      <w:pPr>
        <w:pStyle w:val="ListParagraph"/>
        <w:numPr>
          <w:ilvl w:val="0"/>
          <w:numId w:val="1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jeigu Jūs jau vartojate vaistus slopinančius kosulį, tokius kaip kodeinas ar dekstrometorfanas;</w:t>
      </w:r>
    </w:p>
    <w:p w:rsidR="00024F84" w:rsidRDefault="00024F84" w:rsidP="00024F84">
      <w:pPr>
        <w:pStyle w:val="ListParagraph"/>
        <w:numPr>
          <w:ilvl w:val="0"/>
          <w:numId w:val="1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jeigu Jums yra dusulys, karščiavimas, kruvini ar pūlingi skrepliai.</w:t>
      </w:r>
    </w:p>
    <w:p w:rsidR="00024F84" w:rsidRDefault="00024F84" w:rsidP="00024F84">
      <w:pPr>
        <w:pStyle w:val="ListParagraph"/>
        <w:tabs>
          <w:tab w:val="clear" w:pos="567"/>
          <w:tab w:val="left" w:pos="720"/>
        </w:tabs>
        <w:spacing w:line="240" w:lineRule="auto"/>
        <w:ind w:left="360"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noProof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Vaikams ir paaugliams</w:t>
      </w:r>
    </w:p>
    <w:p w:rsidR="00024F84" w:rsidRDefault="00024F84" w:rsidP="00024F84">
      <w:pPr>
        <w:rPr>
          <w:szCs w:val="22"/>
          <w:lang w:val="lt-LT"/>
        </w:rPr>
      </w:pPr>
      <w:r>
        <w:rPr>
          <w:szCs w:val="22"/>
          <w:lang w:val="lt-LT"/>
        </w:rPr>
        <w:t>Pasitarkite su gydytoju prieš duodami Helituspan savo vaikui:</w:t>
      </w:r>
    </w:p>
    <w:p w:rsidR="00024F84" w:rsidRDefault="00024F84" w:rsidP="00024F84">
      <w:pPr>
        <w:pStyle w:val="ListParagraph"/>
        <w:numPr>
          <w:ilvl w:val="0"/>
          <w:numId w:val="1"/>
        </w:numPr>
        <w:rPr>
          <w:szCs w:val="22"/>
          <w:lang w:val="lt-LT"/>
        </w:rPr>
      </w:pPr>
      <w:r>
        <w:rPr>
          <w:szCs w:val="22"/>
          <w:lang w:val="lt-LT"/>
        </w:rPr>
        <w:t>jeigu Jūsų vaikui yra 2 – 4 metai ir jam yra nuolatinis ar pasikartojantis kosulys.</w:t>
      </w: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rPr>
          <w:b/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Kiti vaistai ir Helituspan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Jeigu vartojate ar neseniai vartojote kitų vaistų arba dėl to nesate tikri, apie tai pasakykite gydytojui arba vaistininkui. Įskaitant ir vaistus, įsigytus be recepto.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Nėštumas žindymo laikotarpis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Jeigu esate nėščia, žindote kūdikį, manote, kad galbūt esate nėščia arba planuojate pastoti, tai prieš vartodama šį vaistą pasitarkite su gydytoju arba vaistininku.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  <w:r>
        <w:rPr>
          <w:noProof/>
          <w:szCs w:val="22"/>
          <w:lang w:val="lt-LT"/>
        </w:rPr>
        <w:t>Gebenių lapų turinčių produktų vartojimo saugumas nėštumo ir žindymo laikotarpiu nepatvirtintas. Dėl to Helituspan vartoti nėštumo ir žindymo laikotarpiu nerekomenduojama.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Vairavimas ir mechanizmų valdymas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Įrodymų, kad vaistiniai preparatai, kurių sudėtyje yra gebenių lapų trikdytų gebėjimą vairuoti ir valdyti mechanizmus, nėra.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>Helituspan sudėtyje yra sorbitolio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2,5 ml sirupo yra 0,963 sorbitolio (atitinka 0,08 duonos vienetų).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Jeigu gydytojas yra sakęs, kad Jūs ar Jūsų vaikas netoleruoja kokių nors angliavandenių, kreipkitės į jį prieš pradėdami vartoti ar duoti šio vaisto savo vaikui. Dėl sudėtyje esančio sorbitolio, sirupas gali turėti lengvą vidurius laisvinantį poveikį.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3"/>
        <w:spacing w:before="0" w:after="0" w:line="240" w:lineRule="auto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>3.</w:t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Kaip vartoti Helituspan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Visada vartokite šį vaistą tiksliai kaip nurodė gydytojas arba vaistininkas.</w:t>
      </w:r>
      <w:r>
        <w:rPr>
          <w:szCs w:val="22"/>
          <w:lang w:val="lt-LT"/>
        </w:rPr>
        <w:t xml:space="preserve"> </w:t>
      </w:r>
      <w:r>
        <w:rPr>
          <w:noProof/>
          <w:szCs w:val="22"/>
          <w:lang w:val="lt-LT"/>
        </w:rPr>
        <w:t>Jeigu abejojate, kreipkitės į gydytoją arba vaistininką.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Helituspan vartojamas tik per burną. Helituspan reikia gerti ryte, vidurdienį ir vakare arba ryte ir vakare.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Prieš vartodami gerai supurtykite buteliuką.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Dozavimui naudokite pridėtą matavimo taurelę.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Rekomenduojama dozė yra: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024F84" w:rsidTr="00024F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left="34" w:right="-2"/>
              <w:contextualSpacing/>
              <w:jc w:val="center"/>
              <w:rPr>
                <w:b/>
                <w:noProof/>
                <w:szCs w:val="22"/>
                <w:lang w:val="lt-LT"/>
              </w:rPr>
            </w:pPr>
            <w:r>
              <w:rPr>
                <w:b/>
                <w:noProof/>
                <w:szCs w:val="22"/>
                <w:lang w:val="lt-LT"/>
              </w:rPr>
              <w:t>Amžius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jc w:val="center"/>
              <w:rPr>
                <w:b/>
                <w:noProof/>
                <w:szCs w:val="22"/>
                <w:lang w:val="lt-LT"/>
              </w:rPr>
            </w:pPr>
            <w:r>
              <w:rPr>
                <w:b/>
                <w:noProof/>
                <w:szCs w:val="22"/>
                <w:lang w:val="lt-LT"/>
              </w:rPr>
              <w:t>Vienkartinė dozė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jc w:val="center"/>
              <w:rPr>
                <w:b/>
                <w:noProof/>
                <w:szCs w:val="22"/>
                <w:lang w:val="lt-LT"/>
              </w:rPr>
            </w:pPr>
            <w:r>
              <w:rPr>
                <w:b/>
                <w:noProof/>
                <w:szCs w:val="22"/>
                <w:lang w:val="lt-LT"/>
              </w:rPr>
              <w:t>Paros dozė</w:t>
            </w:r>
          </w:p>
        </w:tc>
      </w:tr>
      <w:tr w:rsidR="00024F84" w:rsidTr="00024F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4" w:rsidRDefault="00024F84">
            <w:pPr>
              <w:pStyle w:val="Default"/>
              <w:tabs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t-LT"/>
              </w:rPr>
              <w:t>2-5 metų vaikai</w:t>
            </w:r>
          </w:p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left="34" w:right="-2"/>
              <w:contextualSpacing/>
              <w:rPr>
                <w:noProof/>
                <w:szCs w:val="22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rPr>
                <w:noProof/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2,5 ml, atitinka 17,5 mg gebenių lapų sausojo ekstrakto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rPr>
                <w:noProof/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 ml (2,5 ml du kartus per parą), atitinka 35 mg gebenių lapų sausojo ekstrakto</w:t>
            </w:r>
          </w:p>
        </w:tc>
      </w:tr>
      <w:tr w:rsidR="00024F84" w:rsidTr="00024F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84" w:rsidRDefault="00024F84">
            <w:pPr>
              <w:pStyle w:val="Default"/>
              <w:tabs>
                <w:tab w:val="left" w:pos="567"/>
              </w:tabs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t-LT"/>
              </w:rPr>
              <w:t>6-12 metų vaikai</w:t>
            </w:r>
          </w:p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left="34" w:right="-2"/>
              <w:contextualSpacing/>
              <w:rPr>
                <w:noProof/>
                <w:szCs w:val="22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rPr>
                <w:noProof/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 ml, atitinka 35 mg gebenių lapų sausojo ekstrakto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rPr>
                <w:noProof/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10 ml (5 ml du kartus per parą), atitinka70 mg gebenių lapų sausojo ekstrakto</w:t>
            </w:r>
          </w:p>
        </w:tc>
      </w:tr>
      <w:tr w:rsidR="00024F84" w:rsidTr="00024F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pStyle w:val="Default"/>
              <w:tabs>
                <w:tab w:val="left" w:pos="34"/>
              </w:tabs>
              <w:ind w:left="34"/>
              <w:contextualSpacing/>
              <w:rPr>
                <w:rFonts w:ascii="Times New Roman" w:hAnsi="Times New Roman" w:cs="Times New Roman"/>
                <w:noProof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lt-LT"/>
              </w:rPr>
              <w:t>Virš 12 metų paaugliai, suaugę ir senyvi žmonės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rPr>
                <w:noProof/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5 ml, atitinka 35 mg gebenių lapų sausojo ekstrakto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84" w:rsidRDefault="00024F84">
            <w:pPr>
              <w:numPr>
                <w:ilvl w:val="12"/>
                <w:numId w:val="0"/>
              </w:numPr>
              <w:tabs>
                <w:tab w:val="clear" w:pos="567"/>
                <w:tab w:val="left" w:pos="720"/>
              </w:tabs>
              <w:spacing w:line="240" w:lineRule="auto"/>
              <w:ind w:right="-2"/>
              <w:contextualSpacing/>
              <w:rPr>
                <w:noProof/>
                <w:szCs w:val="22"/>
                <w:lang w:val="lt-LT"/>
              </w:rPr>
            </w:pPr>
            <w:r>
              <w:rPr>
                <w:szCs w:val="22"/>
                <w:lang w:val="lt-LT"/>
              </w:rPr>
              <w:t>15 ml (5 ml tris kartus per parą), atitinka 105 mg gebenių lapų sausojo ekstrakto</w:t>
            </w:r>
          </w:p>
        </w:tc>
      </w:tr>
    </w:tbl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u w:val="single"/>
          <w:lang w:val="lt-LT"/>
        </w:rPr>
      </w:pPr>
      <w:r>
        <w:rPr>
          <w:szCs w:val="22"/>
          <w:u w:val="single"/>
          <w:lang w:val="lt-LT"/>
        </w:rPr>
        <w:t>Gydymo trukmė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Jeigu per 7 dienas Jūsų savijauta nepagerėjo arba net pablogėjo, kreipkitės į gydytoją.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Jeigu Jūsų manymu Helituspan veikimas yra per stiprus arba per silpnas, kreipkitės į gydytoją arba vaistininką.</w:t>
      </w:r>
    </w:p>
    <w:p w:rsidR="00024F84" w:rsidRDefault="00024F84" w:rsidP="00024F84">
      <w:pPr>
        <w:pStyle w:val="Heading4"/>
        <w:rPr>
          <w:rFonts w:ascii="Times New Roman" w:hAnsi="Times New Roman"/>
          <w:bCs w:val="0"/>
          <w:noProof/>
          <w:sz w:val="22"/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noProof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Ką daryti pavartojus per didelę Helituspan dozę?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</w:rPr>
        <w:t>Pavartojus per didelę</w:t>
      </w:r>
      <w:r>
        <w:rPr>
          <w:noProof/>
          <w:szCs w:val="22"/>
          <w:lang w:val="lt-LT"/>
        </w:rPr>
        <w:t xml:space="preserve"> </w:t>
      </w:r>
      <w:r>
        <w:rPr>
          <w:noProof/>
          <w:szCs w:val="22"/>
        </w:rPr>
        <w:t>Helituspan</w:t>
      </w:r>
      <w:r>
        <w:rPr>
          <w:noProof/>
          <w:szCs w:val="22"/>
          <w:lang w:val="lt-LT"/>
        </w:rPr>
        <w:t xml:space="preserve"> </w:t>
      </w:r>
      <w:r>
        <w:rPr>
          <w:noProof/>
          <w:szCs w:val="22"/>
        </w:rPr>
        <w:t>dozę</w:t>
      </w:r>
      <w:r>
        <w:rPr>
          <w:noProof/>
          <w:szCs w:val="22"/>
          <w:lang w:val="lt-LT"/>
        </w:rPr>
        <w:t xml:space="preserve"> </w:t>
      </w:r>
      <w:r>
        <w:rPr>
          <w:noProof/>
          <w:szCs w:val="22"/>
        </w:rPr>
        <w:t>gali pasireikšti</w:t>
      </w:r>
      <w:r>
        <w:rPr>
          <w:noProof/>
          <w:szCs w:val="22"/>
          <w:lang w:val="lt-LT"/>
        </w:rPr>
        <w:t xml:space="preserve"> </w:t>
      </w:r>
      <w:r>
        <w:rPr>
          <w:noProof/>
          <w:szCs w:val="22"/>
        </w:rPr>
        <w:t>pykinimas, vėmimas,</w:t>
      </w:r>
      <w:r>
        <w:rPr>
          <w:noProof/>
          <w:szCs w:val="22"/>
          <w:lang w:val="lt-LT"/>
        </w:rPr>
        <w:t xml:space="preserve"> </w:t>
      </w:r>
      <w:r>
        <w:rPr>
          <w:noProof/>
          <w:szCs w:val="22"/>
        </w:rPr>
        <w:t>viduriavimas</w:t>
      </w:r>
      <w:r>
        <w:rPr>
          <w:noProof/>
          <w:szCs w:val="22"/>
          <w:lang w:val="lt-LT"/>
        </w:rPr>
        <w:t xml:space="preserve"> </w:t>
      </w:r>
      <w:r>
        <w:rPr>
          <w:noProof/>
          <w:szCs w:val="22"/>
        </w:rPr>
        <w:t>ar nervingumas</w:t>
      </w:r>
      <w:r>
        <w:rPr>
          <w:noProof/>
          <w:szCs w:val="22"/>
          <w:lang w:val="lt-LT"/>
        </w:rPr>
        <w:t>. Taip nutikus, kreipkitės į gydytoją ir su savimi turėkite šį pakuotės lapelį.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Pamiršus pavartoti Helituspan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Kitą dozę vartokite įprastu metu. Negalima vartoti dvigubos dozės norint kompensuoti praleistą dozę.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  <w:r>
        <w:rPr>
          <w:noProof/>
          <w:szCs w:val="22"/>
          <w:lang w:val="lt-LT"/>
        </w:rPr>
        <w:t>Jeigu kiltų daugiau klausimų dėl šio vaisto vartojimo, kreipkitės į gydytoją arba vaistininką.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pStyle w:val="Heading3"/>
        <w:spacing w:before="0" w:after="0" w:line="240" w:lineRule="auto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>4.</w:t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Galimas šalutinis poveikis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  <w:r>
        <w:rPr>
          <w:noProof/>
          <w:szCs w:val="22"/>
          <w:lang w:val="lt-LT"/>
        </w:rPr>
        <w:t>Šis vaistas, kaip ir visi kiti, gali sukelti šalutinį poveikį, nors jis pasireiškia ne visiems žmonėms.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  <w:r>
        <w:rPr>
          <w:szCs w:val="22"/>
          <w:lang w:val="lt-LT"/>
        </w:rPr>
        <w:t>Šie dažniai naudojami vertinant šalutinį poveikį: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u w:val="single"/>
          <w:lang w:val="lt-LT"/>
        </w:rPr>
      </w:pPr>
      <w:r>
        <w:rPr>
          <w:szCs w:val="22"/>
          <w:u w:val="single"/>
          <w:lang w:val="lt-LT"/>
        </w:rPr>
        <w:t>Dažni šalutiniai poveikiai (atsiranda nuo 1 iki 10 žmonių):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  <w:r>
        <w:rPr>
          <w:szCs w:val="22"/>
          <w:lang w:val="lt-LT"/>
        </w:rPr>
        <w:t>pykinimas (blogumo jausmas skrandyje), vėmimas, viduriavimas.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u w:val="single"/>
          <w:lang w:val="lt-LT"/>
        </w:rPr>
      </w:pPr>
      <w:r>
        <w:rPr>
          <w:szCs w:val="22"/>
          <w:u w:val="single"/>
          <w:lang w:val="lt-LT"/>
        </w:rPr>
        <w:t>Nedažni šalutiniai poveikiai (atsiranda 1 iš 100 žmonių):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  <w:r>
        <w:rPr>
          <w:szCs w:val="22"/>
          <w:lang w:val="lt-LT"/>
        </w:rPr>
        <w:t>Alerginės reakcijos (dilgėlinė, odos bėrimas, išsiplėtę kapiliarai ant veido, kvėpavimo pasunkėjimas).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9"/>
        <w:rPr>
          <w:szCs w:val="22"/>
          <w:lang w:val="lt-LT"/>
        </w:rPr>
      </w:pPr>
    </w:p>
    <w:p w:rsidR="00024F84" w:rsidRDefault="00024F84" w:rsidP="00024F84">
      <w:pPr>
        <w:spacing w:line="240" w:lineRule="auto"/>
        <w:rPr>
          <w:b/>
          <w:szCs w:val="24"/>
          <w:lang w:val="lt-LT"/>
        </w:rPr>
      </w:pPr>
      <w:r>
        <w:rPr>
          <w:b/>
          <w:noProof/>
          <w:szCs w:val="24"/>
          <w:lang w:val="lt-LT"/>
        </w:rPr>
        <w:t>Pranešimas apie šalutinį poveikį</w:t>
      </w:r>
    </w:p>
    <w:p w:rsidR="00024F84" w:rsidRDefault="00024F84" w:rsidP="00024F84">
      <w:pPr>
        <w:ind w:right="-449"/>
        <w:rPr>
          <w:noProof/>
          <w:szCs w:val="22"/>
          <w:lang w:val="lt-LT"/>
        </w:rPr>
      </w:pPr>
      <w:r>
        <w:rPr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>
        <w:rPr>
          <w:lang w:val="lt-LT" w:eastAsia="zh-CN"/>
        </w:rPr>
        <w:t>elefonu 8 800 73568</w:t>
      </w:r>
      <w:r>
        <w:rPr>
          <w:lang w:val="lt-LT"/>
        </w:rPr>
        <w:t xml:space="preserve"> arba užpildyti interneto svetainėje </w:t>
      </w:r>
      <w:r>
        <w:fldChar w:fldCharType="begin"/>
      </w:r>
      <w:r>
        <w:instrText xml:space="preserve"> HYPERLINK "http://www.vvkt.lt/" </w:instrText>
      </w:r>
      <w:r>
        <w:fldChar w:fldCharType="separate"/>
      </w:r>
      <w:r>
        <w:rPr>
          <w:rStyle w:val="Hyperlink"/>
          <w:rFonts w:eastAsia="SimSun"/>
          <w:lang w:val="lt-LT"/>
        </w:rPr>
        <w:t>www.vvkt.lt</w:t>
      </w:r>
      <w:r>
        <w:fldChar w:fldCharType="end"/>
      </w:r>
      <w:r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val="lt-LT" w:eastAsia="zh-CN"/>
        </w:rPr>
        <w:t xml:space="preserve">nemokamu </w:t>
      </w:r>
      <w:r>
        <w:rPr>
          <w:lang w:val="lt-LT"/>
        </w:rPr>
        <w:t>fakso numeriu 8 800 20131</w:t>
      </w:r>
      <w:r>
        <w:rPr>
          <w:lang w:val="lt-LT" w:eastAsia="zh-CN"/>
        </w:rPr>
        <w:t xml:space="preserve">, </w:t>
      </w:r>
      <w:r>
        <w:rPr>
          <w:lang w:val="lt-LT"/>
        </w:rPr>
        <w:t xml:space="preserve">el. paštu </w:t>
      </w:r>
      <w:r>
        <w:fldChar w:fldCharType="begin"/>
      </w:r>
      <w:r>
        <w:instrText xml:space="preserve"> HYPERLINK "mailto:NepageidaujamaR@vvkt.lt" </w:instrText>
      </w:r>
      <w:r>
        <w:fldChar w:fldCharType="separate"/>
      </w:r>
      <w:r>
        <w:rPr>
          <w:rStyle w:val="Hyperlink"/>
          <w:rFonts w:eastAsia="SimSun"/>
          <w:lang w:val="lt-LT"/>
        </w:rPr>
        <w:t>NepageidaujamaR@vvkt.lt</w:t>
      </w:r>
      <w:r>
        <w:fldChar w:fldCharType="end"/>
      </w:r>
      <w:r>
        <w:rPr>
          <w:lang w:val="lt-LT"/>
        </w:rPr>
        <w:t xml:space="preserve">, taip pat per Valstybinės vaistų kontrolės tarnybos prie Lietuvos Respublikos sveikatos apsaugos ministerijos interneto svetainę (adresu </w:t>
      </w:r>
      <w:r>
        <w:fldChar w:fldCharType="begin"/>
      </w:r>
      <w:r>
        <w:instrText xml:space="preserve"> HYPERLINK "http://www.vvkt.lt" </w:instrText>
      </w:r>
      <w:r>
        <w:fldChar w:fldCharType="separate"/>
      </w:r>
      <w:r>
        <w:rPr>
          <w:rStyle w:val="Hyperlink"/>
          <w:rFonts w:eastAsia="SimSun"/>
          <w:lang w:val="lt-LT"/>
        </w:rPr>
        <w:t>http://www.vvkt.lt</w:t>
      </w:r>
      <w:r>
        <w:fldChar w:fldCharType="end"/>
      </w:r>
      <w:r>
        <w:rPr>
          <w:lang w:val="lt-LT"/>
        </w:rPr>
        <w:t>). Pranešdami apie šalutinį poveikį galite mums padėti gauti daugiau informacijos apie šio vaisto saugumą.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3"/>
        <w:spacing w:before="0" w:after="0" w:line="240" w:lineRule="auto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sz w:val="22"/>
          <w:szCs w:val="22"/>
          <w:lang w:val="lt-LT"/>
        </w:rPr>
        <w:t>5.</w:t>
      </w:r>
      <w:r>
        <w:rPr>
          <w:rFonts w:ascii="Times New Roman" w:hAnsi="Times New Roman"/>
          <w:bCs w:val="0"/>
          <w:sz w:val="22"/>
          <w:szCs w:val="22"/>
          <w:lang w:val="lt-LT"/>
        </w:rPr>
        <w:tab/>
      </w: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Kaip laikyti Helituspan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Šį vaistą laikykite vaikams nepastebimoje ir nepasiekiamoje vietoje.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Šiam vaistui specialių laikymo sąlygų nereikia.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Tinkamumo laikas atidarius buteliuką: 6 (šeši) mėnesiai.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Ant dėžutės po „EXP“ nurodytam tinkamumo laikui pasibaigus, šio vaisto vartoti negalima.</w:t>
      </w:r>
      <w:r>
        <w:rPr>
          <w:szCs w:val="22"/>
          <w:lang w:val="lt-LT"/>
        </w:rPr>
        <w:t xml:space="preserve"> </w:t>
      </w:r>
      <w:r>
        <w:rPr>
          <w:noProof/>
          <w:szCs w:val="22"/>
          <w:lang w:val="lt-LT"/>
        </w:rPr>
        <w:t>Vaistas tinkamas vartoti iki paskutinės nurodyto mėnesio dienos.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i/>
          <w:noProof/>
          <w:szCs w:val="22"/>
          <w:lang w:val="lt-LT"/>
        </w:rPr>
      </w:pPr>
      <w:r>
        <w:rPr>
          <w:noProof/>
          <w:szCs w:val="22"/>
          <w:lang w:val="lt-LT"/>
        </w:rPr>
        <w:lastRenderedPageBreak/>
        <w:t>Vaistų negalima išmesti į kanalizaciją arba su buitinėmis atliekomis.</w:t>
      </w:r>
      <w:r>
        <w:rPr>
          <w:szCs w:val="22"/>
          <w:lang w:val="lt-LT"/>
        </w:rPr>
        <w:t xml:space="preserve"> </w:t>
      </w:r>
      <w:r>
        <w:rPr>
          <w:noProof/>
          <w:szCs w:val="22"/>
          <w:lang w:val="lt-LT"/>
        </w:rPr>
        <w:t>Kaip išmesti nereikalingus vaistus, klauskite vaistininko.</w:t>
      </w:r>
      <w:r>
        <w:rPr>
          <w:szCs w:val="22"/>
          <w:lang w:val="lt-LT"/>
        </w:rPr>
        <w:t xml:space="preserve"> </w:t>
      </w:r>
      <w:r>
        <w:rPr>
          <w:noProof/>
          <w:szCs w:val="22"/>
          <w:lang w:val="lt-LT"/>
        </w:rPr>
        <w:t>Šios priemonės padės apsaugoti aplinką.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</w:p>
    <w:p w:rsidR="00024F84" w:rsidRDefault="00024F84" w:rsidP="00024F84">
      <w:pPr>
        <w:pStyle w:val="Heading3"/>
        <w:spacing w:before="0" w:after="0" w:line="240" w:lineRule="auto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6.</w:t>
      </w:r>
      <w:r>
        <w:rPr>
          <w:rFonts w:ascii="Times New Roman" w:hAnsi="Times New Roman"/>
          <w:b w:val="0"/>
          <w:sz w:val="22"/>
          <w:szCs w:val="22"/>
          <w:lang w:val="lt-LT"/>
        </w:rPr>
        <w:tab/>
      </w:r>
      <w:r>
        <w:rPr>
          <w:rFonts w:ascii="Times New Roman" w:hAnsi="Times New Roman"/>
          <w:sz w:val="22"/>
          <w:szCs w:val="22"/>
          <w:lang w:val="lt-LT"/>
        </w:rPr>
        <w:t>Pakuotės turinys ir kita informacija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Helituspan sudėtis</w:t>
      </w:r>
      <w:r>
        <w:rPr>
          <w:rFonts w:ascii="Times New Roman" w:hAnsi="Times New Roman"/>
          <w:bCs w:val="0"/>
          <w:sz w:val="22"/>
          <w:szCs w:val="22"/>
          <w:lang w:val="lt-LT"/>
        </w:rPr>
        <w:t xml:space="preserve"> </w:t>
      </w:r>
    </w:p>
    <w:p w:rsidR="00024F84" w:rsidRDefault="00024F84" w:rsidP="00024F84">
      <w:pPr>
        <w:numPr>
          <w:ilvl w:val="0"/>
          <w:numId w:val="1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 xml:space="preserve">Veiklioji medžiaga yra </w:t>
      </w:r>
      <w:r>
        <w:rPr>
          <w:i/>
          <w:iCs/>
          <w:szCs w:val="22"/>
          <w:lang w:val="lt-LT"/>
        </w:rPr>
        <w:t xml:space="preserve">Hedera helix </w:t>
      </w:r>
      <w:r>
        <w:rPr>
          <w:i/>
          <w:szCs w:val="22"/>
          <w:lang w:val="lt-LT"/>
        </w:rPr>
        <w:t xml:space="preserve">L., folium </w:t>
      </w:r>
      <w:r>
        <w:rPr>
          <w:szCs w:val="22"/>
          <w:lang w:val="lt-LT"/>
        </w:rPr>
        <w:t>(gebenių lapų) sausasis ekstraktas. 1 ml sirupo yra 7 mg gebenių lapų sausojo ekstrakto (5-7,5:1), ekstrahentas: 30 % (m/m) etanolis.</w:t>
      </w:r>
    </w:p>
    <w:p w:rsidR="00024F84" w:rsidRDefault="00024F84" w:rsidP="00024F84">
      <w:pPr>
        <w:pStyle w:val="ListParagraph"/>
        <w:numPr>
          <w:ilvl w:val="0"/>
          <w:numId w:val="1"/>
        </w:numPr>
        <w:tabs>
          <w:tab w:val="clear" w:pos="567"/>
          <w:tab w:val="left" w:pos="720"/>
        </w:tabs>
        <w:spacing w:line="240" w:lineRule="auto"/>
        <w:rPr>
          <w:szCs w:val="22"/>
          <w:lang w:val="lt-LT"/>
        </w:rPr>
      </w:pPr>
      <w:r>
        <w:rPr>
          <w:noProof/>
          <w:szCs w:val="22"/>
          <w:lang w:val="lt-LT"/>
        </w:rPr>
        <w:t>Pagalbinės medžiagos yra: ksantano lipai (E415), sorbitolis (E420), citrinų rūgštis monohidratas (E330), kalio sorbatas (E202), skysta aromatinė medžiaga „</w:t>
      </w:r>
      <w:r>
        <w:rPr>
          <w:i/>
          <w:noProof/>
          <w:szCs w:val="22"/>
          <w:lang w:val="lt-LT"/>
        </w:rPr>
        <w:t>Lemon</w:t>
      </w:r>
      <w:r>
        <w:rPr>
          <w:noProof/>
          <w:szCs w:val="22"/>
          <w:lang w:val="lt-LT"/>
        </w:rPr>
        <w:t>“ (</w:t>
      </w:r>
      <w:r>
        <w:rPr>
          <w:szCs w:val="22"/>
          <w:lang w:val="lt-LT"/>
        </w:rPr>
        <w:t>cis-citralis (neralis), trans-citralis (geranialis), citrinų eterinis aliejus ir propilenglikolis E1520), išgrynintas vanduo.</w:t>
      </w: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rFonts w:ascii="Times New Roman" w:hAnsi="Times New Roman"/>
          <w:bCs w:val="0"/>
          <w:sz w:val="22"/>
          <w:szCs w:val="22"/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Helituspan išvaizda ir kiekis pakuotėje</w:t>
      </w: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120 ml sirupo tamsiai rudo stiklo buteliuke arba tamsiai rudo PET buteliuke su užsukamuoju polietileno dangteliu. Pakuotėje yra polipropileninė matavimo taurelė su 2,5 ml, 5 ml, 7,5 ml, 10 ml, 15 ml ir 20 ml matavimo atžymomis.</w:t>
      </w:r>
    </w:p>
    <w:p w:rsidR="00024F84" w:rsidRDefault="00024F84" w:rsidP="00024F84">
      <w:pPr>
        <w:tabs>
          <w:tab w:val="clear" w:pos="567"/>
          <w:tab w:val="left" w:pos="720"/>
        </w:tabs>
        <w:spacing w:line="240" w:lineRule="auto"/>
        <w:rPr>
          <w:noProof/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Gali būti tiekiamos ne visų dydžių pakuotės.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pStyle w:val="Heading4"/>
        <w:rPr>
          <w:lang w:val="lt-LT"/>
        </w:rPr>
      </w:pPr>
      <w:r>
        <w:rPr>
          <w:rFonts w:ascii="Times New Roman" w:hAnsi="Times New Roman"/>
          <w:bCs w:val="0"/>
          <w:noProof/>
          <w:sz w:val="22"/>
          <w:szCs w:val="22"/>
          <w:lang w:val="lt-LT"/>
        </w:rPr>
        <w:t>Registruotojas ir gamintojas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SOPHARMA AD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16 Iliensko Shosse Str.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Sofia 1220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  <w:r>
        <w:rPr>
          <w:noProof/>
          <w:szCs w:val="22"/>
          <w:lang w:val="lt-LT"/>
        </w:rPr>
        <w:t>Bulgarija</w:t>
      </w: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noProof/>
          <w:szCs w:val="24"/>
          <w:lang w:val="lt-LT"/>
        </w:rPr>
      </w:pPr>
      <w:r>
        <w:rPr>
          <w:noProof/>
          <w:szCs w:val="24"/>
          <w:lang w:val="lt-LT"/>
        </w:rPr>
        <w:t>Jeigu apie šį vaistą norite sužinoti daugiau, kreipkitės į vietinį registruotojo atstovą: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UAB “Maras”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Panerių g. 243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Kaunas 48439</w:t>
      </w: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>El. paštas: info@maras.lt</w:t>
      </w:r>
    </w:p>
    <w:p w:rsidR="00024F84" w:rsidRDefault="00024F84" w:rsidP="00024F84">
      <w:pPr>
        <w:spacing w:line="240" w:lineRule="auto"/>
        <w:rPr>
          <w:noProof/>
          <w:szCs w:val="22"/>
          <w:lang w:val="lt-LT"/>
        </w:rPr>
      </w:pPr>
    </w:p>
    <w:p w:rsidR="00024F84" w:rsidRDefault="00024F84" w:rsidP="00024F84">
      <w:pPr>
        <w:spacing w:line="240" w:lineRule="auto"/>
        <w:rPr>
          <w:b/>
          <w:noProof/>
          <w:szCs w:val="22"/>
          <w:lang w:val="lt-LT"/>
        </w:rPr>
      </w:pPr>
      <w:r>
        <w:rPr>
          <w:b/>
          <w:noProof/>
          <w:szCs w:val="22"/>
          <w:lang w:val="lt-LT"/>
        </w:rPr>
        <w:t>Šio vaistinio preparato rinkodaros teisė EEE valstybėse narėse suteikta tokiais pavadinimais:</w:t>
      </w:r>
    </w:p>
    <w:p w:rsidR="00024F84" w:rsidRDefault="00024F84" w:rsidP="00024F84">
      <w:pPr>
        <w:spacing w:line="240" w:lineRule="auto"/>
        <w:rPr>
          <w:noProof/>
          <w:szCs w:val="22"/>
          <w:lang w:val="lt-LT"/>
        </w:rPr>
      </w:pPr>
      <w:r>
        <w:rPr>
          <w:noProof/>
          <w:szCs w:val="22"/>
          <w:lang w:val="lt-LT"/>
        </w:rPr>
        <w:t xml:space="preserve">Bulgarija: </w:t>
      </w:r>
      <w:r>
        <w:rPr>
          <w:color w:val="000000"/>
          <w:szCs w:val="22"/>
          <w:lang w:val="lt-LT"/>
        </w:rPr>
        <w:t>Туспан 7 mg/ml сироп</w:t>
      </w:r>
    </w:p>
    <w:p w:rsidR="00024F84" w:rsidRDefault="00024F84" w:rsidP="00024F84">
      <w:pPr>
        <w:spacing w:line="240" w:lineRule="auto"/>
        <w:rPr>
          <w:color w:val="000000"/>
          <w:szCs w:val="22"/>
          <w:lang w:val="lt-LT"/>
        </w:rPr>
      </w:pPr>
      <w:r>
        <w:rPr>
          <w:color w:val="000000"/>
          <w:szCs w:val="22"/>
          <w:lang w:val="lt-LT"/>
        </w:rPr>
        <w:t>Estija: Helituspan</w:t>
      </w:r>
    </w:p>
    <w:p w:rsidR="00024F84" w:rsidRDefault="00024F84" w:rsidP="00024F84">
      <w:pPr>
        <w:spacing w:line="240" w:lineRule="auto"/>
        <w:rPr>
          <w:color w:val="000000"/>
          <w:szCs w:val="22"/>
        </w:rPr>
      </w:pPr>
      <w:r>
        <w:rPr>
          <w:noProof/>
          <w:szCs w:val="22"/>
          <w:lang w:val="lt-LT"/>
        </w:rPr>
        <w:t xml:space="preserve">Latvija: </w:t>
      </w:r>
      <w:r>
        <w:rPr>
          <w:color w:val="000000"/>
          <w:szCs w:val="22"/>
          <w:lang w:val="en-US"/>
        </w:rPr>
        <w:t>Heli</w:t>
      </w:r>
      <w:proofErr w:type="spellStart"/>
      <w:r>
        <w:rPr>
          <w:color w:val="000000"/>
          <w:szCs w:val="22"/>
        </w:rPr>
        <w:t>tuspan</w:t>
      </w:r>
      <w:proofErr w:type="spellEnd"/>
      <w:r>
        <w:rPr>
          <w:color w:val="000000"/>
          <w:szCs w:val="22"/>
        </w:rPr>
        <w:t xml:space="preserve"> 7 mg/ml s</w:t>
      </w:r>
      <w:r>
        <w:rPr>
          <w:color w:val="000000"/>
          <w:szCs w:val="22"/>
          <w:lang w:val="lv-LV"/>
        </w:rPr>
        <w:t>ī</w:t>
      </w:r>
      <w:proofErr w:type="spellStart"/>
      <w:r>
        <w:rPr>
          <w:color w:val="000000"/>
          <w:szCs w:val="22"/>
        </w:rPr>
        <w:t>rups</w:t>
      </w:r>
      <w:proofErr w:type="spellEnd"/>
    </w:p>
    <w:p w:rsidR="00024F84" w:rsidRDefault="00024F84" w:rsidP="00024F84">
      <w:pPr>
        <w:spacing w:line="240" w:lineRule="auto"/>
        <w:rPr>
          <w:noProof/>
          <w:szCs w:val="22"/>
          <w:lang w:val="lt-LT"/>
        </w:rPr>
      </w:pPr>
      <w:r>
        <w:rPr>
          <w:color w:val="000000"/>
          <w:szCs w:val="22"/>
          <w:lang w:val="lt-LT"/>
        </w:rPr>
        <w:t>Lenkija</w:t>
      </w:r>
      <w:r>
        <w:rPr>
          <w:color w:val="000000"/>
          <w:szCs w:val="22"/>
        </w:rPr>
        <w:t xml:space="preserve">: </w:t>
      </w:r>
      <w:proofErr w:type="spellStart"/>
      <w:r>
        <w:rPr>
          <w:color w:val="000000"/>
          <w:szCs w:val="22"/>
        </w:rPr>
        <w:t>Helituspan</w:t>
      </w:r>
      <w:proofErr w:type="spellEnd"/>
      <w:r>
        <w:rPr>
          <w:color w:val="000000"/>
          <w:szCs w:val="22"/>
        </w:rPr>
        <w:t xml:space="preserve"> </w:t>
      </w:r>
    </w:p>
    <w:p w:rsidR="00024F84" w:rsidRDefault="00024F84" w:rsidP="00024F84">
      <w:pPr>
        <w:spacing w:line="240" w:lineRule="auto"/>
        <w:rPr>
          <w:noProof/>
          <w:szCs w:val="22"/>
          <w:lang w:val="lt-LT"/>
        </w:rPr>
      </w:pPr>
    </w:p>
    <w:p w:rsidR="00024F84" w:rsidRDefault="00024F84" w:rsidP="00024F84">
      <w:pPr>
        <w:spacing w:line="240" w:lineRule="auto"/>
        <w:rPr>
          <w:noProof/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ind w:right="-2"/>
        <w:rPr>
          <w:b/>
          <w:szCs w:val="22"/>
          <w:lang w:val="lt-LT"/>
        </w:rPr>
      </w:pPr>
      <w:r>
        <w:rPr>
          <w:b/>
          <w:szCs w:val="22"/>
          <w:lang w:val="lt-LT"/>
        </w:rPr>
        <w:t>Šis pakuotės lapelis paskutinį kartą peržiūrėtas 2019-01-08.</w:t>
      </w:r>
    </w:p>
    <w:p w:rsidR="00024F84" w:rsidRDefault="00024F84" w:rsidP="00024F84">
      <w:pPr>
        <w:rPr>
          <w:noProof/>
          <w:szCs w:val="22"/>
          <w:lang w:val="lt-LT"/>
        </w:rPr>
      </w:pPr>
    </w:p>
    <w:p w:rsidR="00024F84" w:rsidRDefault="00024F84" w:rsidP="00024F84">
      <w:pPr>
        <w:rPr>
          <w:noProof/>
          <w:szCs w:val="22"/>
          <w:lang w:val="lt-LT"/>
        </w:rPr>
      </w:pPr>
    </w:p>
    <w:p w:rsidR="00024F84" w:rsidRDefault="00024F84" w:rsidP="00024F84">
      <w:pPr>
        <w:numPr>
          <w:ilvl w:val="12"/>
          <w:numId w:val="0"/>
        </w:numPr>
        <w:spacing w:line="240" w:lineRule="auto"/>
        <w:ind w:right="-2"/>
        <w:rPr>
          <w:szCs w:val="22"/>
          <w:lang w:val="lt-LT"/>
        </w:rPr>
      </w:pPr>
      <w:r>
        <w:rPr>
          <w:szCs w:val="22"/>
          <w:lang w:val="lt-LT"/>
        </w:rPr>
        <w:t>Išsami informacija apie šį vaistą pateikiama Valstybinės vaistų kontrolės tarnybos prie Lietuvos Respublikos sveikatos apsaugos ministerijos tinklalapyje</w:t>
      </w:r>
      <w:r>
        <w:rPr>
          <w:i/>
          <w:szCs w:val="22"/>
          <w:lang w:val="lt-LT"/>
        </w:rPr>
        <w:t xml:space="preserve"> </w:t>
      </w:r>
      <w:hyperlink r:id="rId6" w:history="1">
        <w:r>
          <w:rPr>
            <w:rStyle w:val="Hyperlink"/>
            <w:rFonts w:eastAsia="SimSun"/>
            <w:szCs w:val="22"/>
            <w:lang w:val="lt-LT"/>
          </w:rPr>
          <w:t>http://www.vvkt.lt/</w:t>
        </w:r>
      </w:hyperlink>
      <w:r>
        <w:rPr>
          <w:szCs w:val="22"/>
          <w:lang w:val="lt-LT"/>
        </w:rPr>
        <w:t>.</w:t>
      </w:r>
    </w:p>
    <w:p w:rsidR="00024F84" w:rsidRDefault="00024F84" w:rsidP="00024F84">
      <w:pPr>
        <w:rPr>
          <w:lang w:val="lt-LT"/>
        </w:rPr>
      </w:pPr>
    </w:p>
    <w:p w:rsidR="00024F84" w:rsidRDefault="00024F84" w:rsidP="00024F84">
      <w:pPr>
        <w:rPr>
          <w:lang w:val="lt-LT"/>
        </w:rPr>
      </w:pPr>
    </w:p>
    <w:p w:rsidR="00024F84" w:rsidRDefault="00024F84" w:rsidP="00024F84">
      <w:pPr>
        <w:rPr>
          <w:lang w:val="lt-LT"/>
        </w:rPr>
      </w:pPr>
    </w:p>
    <w:p w:rsidR="003876EB" w:rsidRDefault="003876EB"/>
    <w:sectPr w:rsidR="0038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84"/>
    <w:rsid w:val="00024F84"/>
    <w:rsid w:val="003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84"/>
    <w:pPr>
      <w:tabs>
        <w:tab w:val="left" w:pos="567"/>
      </w:tabs>
      <w:snapToGrid w:val="0"/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F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84"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84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4F8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8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8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024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F84"/>
    <w:pPr>
      <w:ind w:left="720"/>
      <w:contextualSpacing/>
    </w:pPr>
  </w:style>
  <w:style w:type="paragraph" w:customStyle="1" w:styleId="Default">
    <w:name w:val="Default"/>
    <w:rsid w:val="00024F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84"/>
    <w:pPr>
      <w:tabs>
        <w:tab w:val="left" w:pos="567"/>
      </w:tabs>
      <w:snapToGrid w:val="0"/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F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84"/>
    <w:pPr>
      <w:keepNext/>
      <w:keepLines/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84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4F84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84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8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024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F84"/>
    <w:pPr>
      <w:ind w:left="720"/>
      <w:contextualSpacing/>
    </w:pPr>
  </w:style>
  <w:style w:type="paragraph" w:customStyle="1" w:styleId="Default">
    <w:name w:val="Default"/>
    <w:rsid w:val="00024F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2019-09-13T17:06:00Z</dcterms:created>
  <dcterms:modified xsi:type="dcterms:W3CDTF">2019-09-13T17:06:00Z</dcterms:modified>
</cp:coreProperties>
</file>