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EF41D" w14:textId="77777777" w:rsidR="00973E5E" w:rsidRDefault="00973E5E" w:rsidP="00973E5E">
      <w:pPr>
        <w:ind w:right="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B. PAKUOTĖS LAPELIS</w:t>
      </w:r>
    </w:p>
    <w:p w14:paraId="5D37D4E0" w14:textId="77777777" w:rsidR="00973E5E" w:rsidRDefault="00973E5E" w:rsidP="00973E5E">
      <w:pPr>
        <w:sectPr w:rsidR="00973E5E">
          <w:pgSz w:w="11900" w:h="16840"/>
          <w:pgMar w:top="1440" w:right="1440" w:bottom="184" w:left="1440" w:header="0" w:footer="0" w:gutter="0"/>
          <w:cols w:space="720" w:equalWidth="0">
            <w:col w:w="9024"/>
          </w:cols>
        </w:sectPr>
      </w:pPr>
    </w:p>
    <w:p w14:paraId="41EE7522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7410786F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36E9276C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299A1FB2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18BEB1C1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66B5F488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6D72E0D1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6B27A2D7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6A9F081E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72074408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1BC9DEA5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2A6F1D9C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03CFAFF5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519E0C04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373FD044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2625A03D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0C810E58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4E0FF2B3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54DEA7B9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7CD55738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1F7FF894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0B701BB6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66E3D5B4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4D8A4A42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4D4FA715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03C9BA0F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6CF3745D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52C4065A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45347A32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09409F4B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0F2BAC88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19869E4C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5C73889F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574D32BF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47A0B44F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7B321C41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4C72D67C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6C9B2A09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17A8970E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39B7AA43" w14:textId="23254228" w:rsidR="00973E5E" w:rsidRDefault="00973E5E" w:rsidP="00973E5E">
      <w:pPr>
        <w:spacing w:line="200" w:lineRule="exact"/>
        <w:rPr>
          <w:sz w:val="20"/>
          <w:szCs w:val="20"/>
        </w:rPr>
      </w:pPr>
    </w:p>
    <w:p w14:paraId="6767D0F2" w14:textId="14C7BAA5" w:rsidR="009C3F7A" w:rsidRDefault="009C3F7A" w:rsidP="00973E5E">
      <w:pPr>
        <w:spacing w:line="200" w:lineRule="exact"/>
        <w:rPr>
          <w:sz w:val="20"/>
          <w:szCs w:val="20"/>
        </w:rPr>
      </w:pPr>
    </w:p>
    <w:p w14:paraId="4D50008A" w14:textId="11319B9B" w:rsidR="009C3F7A" w:rsidRDefault="009C3F7A" w:rsidP="00973E5E">
      <w:pPr>
        <w:spacing w:line="200" w:lineRule="exact"/>
        <w:rPr>
          <w:sz w:val="20"/>
          <w:szCs w:val="20"/>
        </w:rPr>
      </w:pPr>
    </w:p>
    <w:p w14:paraId="372B4B3F" w14:textId="12F283BC" w:rsidR="009C3F7A" w:rsidRDefault="009C3F7A" w:rsidP="00973E5E">
      <w:pPr>
        <w:spacing w:line="200" w:lineRule="exact"/>
        <w:rPr>
          <w:sz w:val="20"/>
          <w:szCs w:val="20"/>
        </w:rPr>
      </w:pPr>
    </w:p>
    <w:p w14:paraId="7CB48096" w14:textId="33B5EAA9" w:rsidR="009C3F7A" w:rsidRDefault="009C3F7A" w:rsidP="00973E5E">
      <w:pPr>
        <w:spacing w:line="200" w:lineRule="exact"/>
        <w:rPr>
          <w:sz w:val="20"/>
          <w:szCs w:val="20"/>
        </w:rPr>
      </w:pPr>
    </w:p>
    <w:p w14:paraId="64F82C16" w14:textId="1FC027E7" w:rsidR="009C3F7A" w:rsidRDefault="009C3F7A" w:rsidP="00973E5E">
      <w:pPr>
        <w:spacing w:line="200" w:lineRule="exact"/>
        <w:rPr>
          <w:sz w:val="20"/>
          <w:szCs w:val="20"/>
        </w:rPr>
      </w:pPr>
    </w:p>
    <w:p w14:paraId="29C78F94" w14:textId="67DBDF41" w:rsidR="009C3F7A" w:rsidRDefault="009C3F7A" w:rsidP="00973E5E">
      <w:pPr>
        <w:spacing w:line="200" w:lineRule="exact"/>
        <w:rPr>
          <w:sz w:val="20"/>
          <w:szCs w:val="20"/>
        </w:rPr>
      </w:pPr>
    </w:p>
    <w:p w14:paraId="7910AD2E" w14:textId="0FD0C57C" w:rsidR="009C3F7A" w:rsidRDefault="009C3F7A" w:rsidP="00973E5E">
      <w:pPr>
        <w:spacing w:line="200" w:lineRule="exact"/>
        <w:rPr>
          <w:sz w:val="20"/>
          <w:szCs w:val="20"/>
        </w:rPr>
      </w:pPr>
    </w:p>
    <w:p w14:paraId="5734DE9E" w14:textId="224D328F" w:rsidR="009C3F7A" w:rsidRDefault="009C3F7A" w:rsidP="00973E5E">
      <w:pPr>
        <w:spacing w:line="200" w:lineRule="exact"/>
        <w:rPr>
          <w:sz w:val="20"/>
          <w:szCs w:val="20"/>
        </w:rPr>
      </w:pPr>
    </w:p>
    <w:p w14:paraId="069965A7" w14:textId="45DD7901" w:rsidR="009C3F7A" w:rsidRDefault="009C3F7A" w:rsidP="00973E5E">
      <w:pPr>
        <w:spacing w:line="200" w:lineRule="exact"/>
        <w:rPr>
          <w:sz w:val="20"/>
          <w:szCs w:val="20"/>
        </w:rPr>
      </w:pPr>
    </w:p>
    <w:p w14:paraId="5C780430" w14:textId="034583B4" w:rsidR="009C3F7A" w:rsidRDefault="009C3F7A" w:rsidP="00973E5E">
      <w:pPr>
        <w:spacing w:line="200" w:lineRule="exact"/>
        <w:rPr>
          <w:sz w:val="20"/>
          <w:szCs w:val="20"/>
        </w:rPr>
      </w:pPr>
    </w:p>
    <w:p w14:paraId="1CDA30D6" w14:textId="79904E2B" w:rsidR="009C3F7A" w:rsidRDefault="009C3F7A" w:rsidP="00973E5E">
      <w:pPr>
        <w:spacing w:line="200" w:lineRule="exact"/>
        <w:rPr>
          <w:sz w:val="20"/>
          <w:szCs w:val="20"/>
        </w:rPr>
      </w:pPr>
    </w:p>
    <w:p w14:paraId="3013C2F4" w14:textId="012AE3E2" w:rsidR="009C3F7A" w:rsidRDefault="009C3F7A" w:rsidP="00973E5E">
      <w:pPr>
        <w:spacing w:line="200" w:lineRule="exact"/>
        <w:rPr>
          <w:sz w:val="20"/>
          <w:szCs w:val="20"/>
        </w:rPr>
      </w:pPr>
    </w:p>
    <w:p w14:paraId="65751563" w14:textId="57C27153" w:rsidR="009C3F7A" w:rsidRDefault="009C3F7A" w:rsidP="00973E5E">
      <w:pPr>
        <w:spacing w:line="200" w:lineRule="exact"/>
        <w:rPr>
          <w:sz w:val="20"/>
          <w:szCs w:val="20"/>
        </w:rPr>
      </w:pPr>
    </w:p>
    <w:p w14:paraId="598253D8" w14:textId="77D76560" w:rsidR="009C3F7A" w:rsidRDefault="009C3F7A" w:rsidP="00973E5E">
      <w:pPr>
        <w:spacing w:line="200" w:lineRule="exact"/>
        <w:rPr>
          <w:sz w:val="20"/>
          <w:szCs w:val="20"/>
        </w:rPr>
      </w:pPr>
    </w:p>
    <w:p w14:paraId="1D5900E6" w14:textId="7A84361E" w:rsidR="009C3F7A" w:rsidRDefault="009C3F7A" w:rsidP="00973E5E">
      <w:pPr>
        <w:spacing w:line="200" w:lineRule="exact"/>
        <w:rPr>
          <w:sz w:val="20"/>
          <w:szCs w:val="20"/>
        </w:rPr>
      </w:pPr>
    </w:p>
    <w:p w14:paraId="3D1D1070" w14:textId="1F0C7620" w:rsidR="009C3F7A" w:rsidRDefault="009C3F7A" w:rsidP="00973E5E">
      <w:pPr>
        <w:spacing w:line="200" w:lineRule="exact"/>
        <w:rPr>
          <w:sz w:val="20"/>
          <w:szCs w:val="20"/>
        </w:rPr>
      </w:pPr>
    </w:p>
    <w:p w14:paraId="3C1C7082" w14:textId="2A14FEA0" w:rsidR="009C3F7A" w:rsidRDefault="009C3F7A" w:rsidP="00973E5E">
      <w:pPr>
        <w:spacing w:line="200" w:lineRule="exact"/>
        <w:rPr>
          <w:sz w:val="20"/>
          <w:szCs w:val="20"/>
        </w:rPr>
      </w:pPr>
    </w:p>
    <w:p w14:paraId="0278F9F9" w14:textId="761A819F" w:rsidR="009C3F7A" w:rsidRDefault="009C3F7A" w:rsidP="00973E5E">
      <w:pPr>
        <w:spacing w:line="200" w:lineRule="exact"/>
        <w:rPr>
          <w:sz w:val="20"/>
          <w:szCs w:val="20"/>
        </w:rPr>
      </w:pPr>
    </w:p>
    <w:p w14:paraId="71EBAB7E" w14:textId="791F05EB" w:rsidR="009C3F7A" w:rsidRDefault="009C3F7A" w:rsidP="00973E5E">
      <w:pPr>
        <w:spacing w:line="200" w:lineRule="exact"/>
        <w:rPr>
          <w:sz w:val="20"/>
          <w:szCs w:val="20"/>
        </w:rPr>
      </w:pPr>
    </w:p>
    <w:p w14:paraId="36330008" w14:textId="5D950FE4" w:rsidR="009C3F7A" w:rsidRDefault="009C3F7A" w:rsidP="00973E5E">
      <w:pPr>
        <w:spacing w:line="200" w:lineRule="exact"/>
        <w:rPr>
          <w:sz w:val="20"/>
          <w:szCs w:val="20"/>
        </w:rPr>
      </w:pPr>
    </w:p>
    <w:p w14:paraId="3A8F87A1" w14:textId="2F52F13F" w:rsidR="009C3F7A" w:rsidRDefault="009C3F7A" w:rsidP="00973E5E">
      <w:pPr>
        <w:spacing w:line="200" w:lineRule="exact"/>
        <w:rPr>
          <w:sz w:val="20"/>
          <w:szCs w:val="20"/>
        </w:rPr>
      </w:pPr>
    </w:p>
    <w:p w14:paraId="1BFDDBD9" w14:textId="74E7E520" w:rsidR="009C3F7A" w:rsidRDefault="009C3F7A" w:rsidP="00973E5E">
      <w:pPr>
        <w:spacing w:line="200" w:lineRule="exact"/>
        <w:rPr>
          <w:sz w:val="20"/>
          <w:szCs w:val="20"/>
        </w:rPr>
      </w:pPr>
    </w:p>
    <w:p w14:paraId="7F4DFFE5" w14:textId="6E5EFD62" w:rsidR="009C3F7A" w:rsidRDefault="009C3F7A" w:rsidP="00973E5E">
      <w:pPr>
        <w:spacing w:line="200" w:lineRule="exact"/>
        <w:rPr>
          <w:sz w:val="20"/>
          <w:szCs w:val="20"/>
        </w:rPr>
      </w:pPr>
    </w:p>
    <w:p w14:paraId="4D2B88EB" w14:textId="77777777" w:rsidR="009C3F7A" w:rsidRDefault="009C3F7A" w:rsidP="00973E5E">
      <w:pPr>
        <w:spacing w:line="200" w:lineRule="exact"/>
        <w:rPr>
          <w:sz w:val="20"/>
          <w:szCs w:val="20"/>
        </w:rPr>
      </w:pPr>
    </w:p>
    <w:p w14:paraId="560B8C54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14135101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441748B6" w14:textId="77777777" w:rsidR="00973E5E" w:rsidRDefault="00973E5E" w:rsidP="00973E5E">
      <w:pPr>
        <w:spacing w:line="292" w:lineRule="exact"/>
        <w:rPr>
          <w:sz w:val="20"/>
          <w:szCs w:val="20"/>
        </w:rPr>
      </w:pPr>
    </w:p>
    <w:p w14:paraId="4C4D548B" w14:textId="77777777" w:rsidR="00973E5E" w:rsidRDefault="00973E5E" w:rsidP="00973E5E">
      <w:pPr>
        <w:ind w:right="8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</w:t>
      </w:r>
    </w:p>
    <w:p w14:paraId="4DB13DF3" w14:textId="77777777" w:rsidR="00973E5E" w:rsidRDefault="00973E5E" w:rsidP="00973E5E">
      <w:pPr>
        <w:sectPr w:rsidR="00973E5E">
          <w:type w:val="continuous"/>
          <w:pgSz w:w="11900" w:h="16840"/>
          <w:pgMar w:top="1440" w:right="1440" w:bottom="184" w:left="1440" w:header="0" w:footer="0" w:gutter="0"/>
          <w:cols w:space="720" w:equalWidth="0">
            <w:col w:w="9024"/>
          </w:cols>
        </w:sectPr>
      </w:pPr>
    </w:p>
    <w:p w14:paraId="23A26ADF" w14:textId="77777777" w:rsidR="00973E5E" w:rsidRDefault="00973E5E" w:rsidP="00973E5E">
      <w:pPr>
        <w:ind w:left="2662"/>
        <w:rPr>
          <w:sz w:val="20"/>
          <w:szCs w:val="20"/>
        </w:rPr>
      </w:pPr>
      <w:bookmarkStart w:id="0" w:name="page33"/>
      <w:bookmarkEnd w:id="0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vartotojui</w:t>
      </w:r>
      <w:proofErr w:type="spellEnd"/>
    </w:p>
    <w:p w14:paraId="28EAAD74" w14:textId="77777777" w:rsidR="00973E5E" w:rsidRDefault="00973E5E" w:rsidP="00973E5E">
      <w:pPr>
        <w:spacing w:line="263" w:lineRule="exact"/>
        <w:rPr>
          <w:sz w:val="20"/>
          <w:szCs w:val="20"/>
        </w:rPr>
      </w:pPr>
    </w:p>
    <w:p w14:paraId="4E0CF6B5" w14:textId="77777777" w:rsidR="00973E5E" w:rsidRDefault="00973E5E" w:rsidP="00973E5E">
      <w:pPr>
        <w:ind w:left="2622"/>
        <w:rPr>
          <w:sz w:val="20"/>
          <w:szCs w:val="20"/>
        </w:rPr>
      </w:pPr>
      <w:r>
        <w:rPr>
          <w:rFonts w:eastAsia="Times New Roman"/>
          <w:b/>
          <w:bCs/>
        </w:rPr>
        <w:t xml:space="preserve">Adempas 0,5 mg </w:t>
      </w:r>
      <w:proofErr w:type="spellStart"/>
      <w:r>
        <w:rPr>
          <w:rFonts w:eastAsia="Times New Roman"/>
          <w:b/>
          <w:bCs/>
        </w:rPr>
        <w:t>plėvele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dengtos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</w:p>
    <w:p w14:paraId="6261671A" w14:textId="77777777" w:rsidR="00973E5E" w:rsidRDefault="00973E5E" w:rsidP="00973E5E">
      <w:pPr>
        <w:spacing w:line="9" w:lineRule="exact"/>
        <w:rPr>
          <w:sz w:val="20"/>
          <w:szCs w:val="20"/>
        </w:rPr>
      </w:pPr>
    </w:p>
    <w:p w14:paraId="4DBD391F" w14:textId="77777777" w:rsidR="00973E5E" w:rsidRDefault="00973E5E" w:rsidP="00973E5E">
      <w:pPr>
        <w:ind w:right="-3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Adempas 1 mg </w:t>
      </w:r>
      <w:proofErr w:type="spellStart"/>
      <w:r>
        <w:rPr>
          <w:rFonts w:eastAsia="Times New Roman"/>
          <w:b/>
          <w:bCs/>
        </w:rPr>
        <w:t>plėvele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dengtos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</w:p>
    <w:p w14:paraId="6F452A95" w14:textId="77777777" w:rsidR="00973E5E" w:rsidRDefault="00973E5E" w:rsidP="00973E5E">
      <w:pPr>
        <w:spacing w:line="5" w:lineRule="exact"/>
        <w:rPr>
          <w:sz w:val="20"/>
          <w:szCs w:val="20"/>
        </w:rPr>
      </w:pPr>
    </w:p>
    <w:p w14:paraId="4B7F8B8B" w14:textId="77777777" w:rsidR="00973E5E" w:rsidRDefault="00973E5E" w:rsidP="00973E5E">
      <w:pPr>
        <w:ind w:right="-3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Adempas 1,5 mg </w:t>
      </w:r>
      <w:proofErr w:type="spellStart"/>
      <w:r>
        <w:rPr>
          <w:rFonts w:eastAsia="Times New Roman"/>
          <w:b/>
          <w:bCs/>
        </w:rPr>
        <w:t>plėvele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dengtos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</w:p>
    <w:p w14:paraId="77191F3F" w14:textId="77777777" w:rsidR="00973E5E" w:rsidRDefault="00973E5E" w:rsidP="00973E5E">
      <w:pPr>
        <w:spacing w:line="5" w:lineRule="exact"/>
        <w:rPr>
          <w:sz w:val="20"/>
          <w:szCs w:val="20"/>
        </w:rPr>
      </w:pPr>
    </w:p>
    <w:p w14:paraId="19D0A63B" w14:textId="77777777" w:rsidR="00973E5E" w:rsidRDefault="00973E5E" w:rsidP="00973E5E">
      <w:pPr>
        <w:ind w:right="-3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Adempas 2 mg </w:t>
      </w:r>
      <w:proofErr w:type="spellStart"/>
      <w:r>
        <w:rPr>
          <w:rFonts w:eastAsia="Times New Roman"/>
          <w:b/>
          <w:bCs/>
        </w:rPr>
        <w:t>plėvele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dengtos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</w:p>
    <w:p w14:paraId="7485E019" w14:textId="77777777" w:rsidR="00973E5E" w:rsidRDefault="00973E5E" w:rsidP="00973E5E">
      <w:pPr>
        <w:spacing w:line="5" w:lineRule="exact"/>
        <w:rPr>
          <w:sz w:val="20"/>
          <w:szCs w:val="20"/>
        </w:rPr>
      </w:pPr>
    </w:p>
    <w:p w14:paraId="4EF327E7" w14:textId="77777777" w:rsidR="00973E5E" w:rsidRDefault="00973E5E" w:rsidP="00973E5E">
      <w:pPr>
        <w:ind w:right="-3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Adempas 2,5 mg </w:t>
      </w:r>
      <w:proofErr w:type="spellStart"/>
      <w:r>
        <w:rPr>
          <w:rFonts w:eastAsia="Times New Roman"/>
          <w:b/>
          <w:bCs/>
        </w:rPr>
        <w:t>plėvele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dengtos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</w:p>
    <w:p w14:paraId="614E9678" w14:textId="77777777" w:rsidR="00973E5E" w:rsidRDefault="00973E5E" w:rsidP="00973E5E">
      <w:pPr>
        <w:spacing w:line="251" w:lineRule="exact"/>
        <w:rPr>
          <w:sz w:val="20"/>
          <w:szCs w:val="20"/>
        </w:rPr>
      </w:pPr>
    </w:p>
    <w:p w14:paraId="1EEF535C" w14:textId="77777777" w:rsidR="00973E5E" w:rsidRDefault="00973E5E" w:rsidP="00973E5E">
      <w:pPr>
        <w:ind w:right="-36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riociguatas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i/>
          <w:iCs/>
        </w:rPr>
        <w:t>riociguatum</w:t>
      </w:r>
      <w:proofErr w:type="spellEnd"/>
      <w:r>
        <w:rPr>
          <w:rFonts w:eastAsia="Times New Roman"/>
        </w:rPr>
        <w:t>)</w:t>
      </w:r>
    </w:p>
    <w:p w14:paraId="5E5DBB20" w14:textId="77777777" w:rsidR="00973E5E" w:rsidRDefault="00973E5E" w:rsidP="00973E5E">
      <w:pPr>
        <w:spacing w:line="261" w:lineRule="exact"/>
        <w:rPr>
          <w:sz w:val="20"/>
          <w:szCs w:val="20"/>
        </w:rPr>
      </w:pPr>
    </w:p>
    <w:p w14:paraId="4CE09823" w14:textId="77777777" w:rsidR="00973E5E" w:rsidRDefault="00973E5E" w:rsidP="00973E5E">
      <w:pPr>
        <w:spacing w:line="244" w:lineRule="auto"/>
        <w:ind w:left="2" w:right="26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5F394490" w14:textId="77777777" w:rsidR="00973E5E" w:rsidRDefault="00973E5E" w:rsidP="00973E5E">
      <w:pPr>
        <w:spacing w:line="1" w:lineRule="exact"/>
        <w:rPr>
          <w:sz w:val="20"/>
          <w:szCs w:val="20"/>
        </w:rPr>
      </w:pPr>
    </w:p>
    <w:p w14:paraId="33083DF3" w14:textId="77777777" w:rsidR="00973E5E" w:rsidRDefault="00973E5E" w:rsidP="00973E5E">
      <w:pPr>
        <w:numPr>
          <w:ilvl w:val="0"/>
          <w:numId w:val="1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5E3D73DC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76929DEE" w14:textId="77777777" w:rsidR="00973E5E" w:rsidRDefault="00973E5E" w:rsidP="00973E5E">
      <w:pPr>
        <w:numPr>
          <w:ilvl w:val="0"/>
          <w:numId w:val="1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71C19996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2B2DFF83" w14:textId="77777777" w:rsidR="00973E5E" w:rsidRDefault="00973E5E" w:rsidP="00973E5E">
      <w:pPr>
        <w:numPr>
          <w:ilvl w:val="0"/>
          <w:numId w:val="1"/>
        </w:numPr>
        <w:tabs>
          <w:tab w:val="left" w:pos="562"/>
        </w:tabs>
        <w:spacing w:line="241" w:lineRule="auto"/>
        <w:ind w:left="562" w:right="724" w:hanging="559"/>
        <w:rPr>
          <w:rFonts w:eastAsia="Times New Roman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tiems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>).</w:t>
      </w:r>
    </w:p>
    <w:p w14:paraId="1EB00D59" w14:textId="77777777" w:rsidR="00973E5E" w:rsidRDefault="00973E5E" w:rsidP="00973E5E">
      <w:pPr>
        <w:numPr>
          <w:ilvl w:val="0"/>
          <w:numId w:val="1"/>
        </w:numPr>
        <w:tabs>
          <w:tab w:val="left" w:pos="562"/>
        </w:tabs>
        <w:spacing w:line="272" w:lineRule="auto"/>
        <w:ind w:left="562" w:right="724" w:hanging="559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62FCD11E" w14:textId="77777777" w:rsidR="00973E5E" w:rsidRDefault="00973E5E" w:rsidP="00973E5E">
      <w:pPr>
        <w:spacing w:line="191" w:lineRule="exact"/>
        <w:rPr>
          <w:sz w:val="20"/>
          <w:szCs w:val="20"/>
        </w:rPr>
      </w:pPr>
    </w:p>
    <w:p w14:paraId="17EF582C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54165584" w14:textId="77777777" w:rsidR="00973E5E" w:rsidRDefault="00973E5E" w:rsidP="00973E5E">
      <w:pPr>
        <w:spacing w:line="258" w:lineRule="exact"/>
        <w:rPr>
          <w:sz w:val="20"/>
          <w:szCs w:val="20"/>
        </w:rPr>
      </w:pPr>
    </w:p>
    <w:p w14:paraId="77DB985E" w14:textId="77777777" w:rsidR="00973E5E" w:rsidRDefault="00973E5E" w:rsidP="00973E5E">
      <w:pPr>
        <w:numPr>
          <w:ilvl w:val="0"/>
          <w:numId w:val="2"/>
        </w:numPr>
        <w:tabs>
          <w:tab w:val="left" w:pos="422"/>
        </w:tabs>
        <w:ind w:left="422" w:hanging="419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Adempas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3E71522C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1C6A3DED" w14:textId="77777777" w:rsidR="00973E5E" w:rsidRDefault="00973E5E" w:rsidP="00973E5E">
      <w:pPr>
        <w:numPr>
          <w:ilvl w:val="0"/>
          <w:numId w:val="2"/>
        </w:numPr>
        <w:tabs>
          <w:tab w:val="left" w:pos="422"/>
        </w:tabs>
        <w:ind w:left="422" w:hanging="422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Adempas</w:t>
      </w:r>
    </w:p>
    <w:p w14:paraId="32D65BB4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6488E17A" w14:textId="77777777" w:rsidR="00973E5E" w:rsidRDefault="00973E5E" w:rsidP="00973E5E">
      <w:pPr>
        <w:numPr>
          <w:ilvl w:val="0"/>
          <w:numId w:val="2"/>
        </w:numPr>
        <w:tabs>
          <w:tab w:val="left" w:pos="422"/>
        </w:tabs>
        <w:ind w:left="422" w:hanging="422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Adempas</w:t>
      </w:r>
    </w:p>
    <w:p w14:paraId="723F0465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7698994A" w14:textId="77777777" w:rsidR="00973E5E" w:rsidRDefault="00973E5E" w:rsidP="00973E5E">
      <w:pPr>
        <w:numPr>
          <w:ilvl w:val="0"/>
          <w:numId w:val="2"/>
        </w:numPr>
        <w:tabs>
          <w:tab w:val="left" w:pos="422"/>
        </w:tabs>
        <w:ind w:left="422" w:hanging="422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573D9CCC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71B5341E" w14:textId="77777777" w:rsidR="00973E5E" w:rsidRDefault="00973E5E" w:rsidP="00973E5E">
      <w:pPr>
        <w:numPr>
          <w:ilvl w:val="0"/>
          <w:numId w:val="2"/>
        </w:numPr>
        <w:tabs>
          <w:tab w:val="left" w:pos="422"/>
        </w:tabs>
        <w:ind w:left="422" w:hanging="422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Adempas</w:t>
      </w:r>
    </w:p>
    <w:p w14:paraId="4F9D6652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646B48B4" w14:textId="77777777" w:rsidR="00973E5E" w:rsidRDefault="00973E5E" w:rsidP="00973E5E">
      <w:pPr>
        <w:numPr>
          <w:ilvl w:val="0"/>
          <w:numId w:val="2"/>
        </w:numPr>
        <w:tabs>
          <w:tab w:val="left" w:pos="422"/>
        </w:tabs>
        <w:ind w:left="422" w:hanging="422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02D11755" w14:textId="77777777" w:rsidR="00973E5E" w:rsidRDefault="00973E5E" w:rsidP="00973E5E">
      <w:pPr>
        <w:spacing w:line="200" w:lineRule="exact"/>
        <w:rPr>
          <w:rFonts w:eastAsia="Times New Roman"/>
        </w:rPr>
      </w:pPr>
    </w:p>
    <w:p w14:paraId="2A78C79C" w14:textId="77777777" w:rsidR="00973E5E" w:rsidRDefault="00973E5E" w:rsidP="00973E5E">
      <w:pPr>
        <w:spacing w:line="311" w:lineRule="exact"/>
        <w:rPr>
          <w:rFonts w:eastAsia="Times New Roman"/>
        </w:rPr>
      </w:pPr>
    </w:p>
    <w:p w14:paraId="768E7A32" w14:textId="77777777" w:rsidR="00973E5E" w:rsidRDefault="00973E5E" w:rsidP="00973E5E">
      <w:pPr>
        <w:numPr>
          <w:ilvl w:val="0"/>
          <w:numId w:val="3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Adempas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52F2CECB" w14:textId="77777777" w:rsidR="00973E5E" w:rsidRDefault="00973E5E" w:rsidP="00973E5E">
      <w:pPr>
        <w:spacing w:line="259" w:lineRule="exact"/>
        <w:rPr>
          <w:sz w:val="20"/>
          <w:szCs w:val="20"/>
        </w:rPr>
      </w:pPr>
    </w:p>
    <w:p w14:paraId="47F41AB0" w14:textId="77777777" w:rsidR="00973E5E" w:rsidRDefault="00973E5E" w:rsidP="00973E5E">
      <w:pPr>
        <w:spacing w:line="245" w:lineRule="auto"/>
        <w:ind w:left="2" w:right="224"/>
        <w:rPr>
          <w:sz w:val="20"/>
          <w:szCs w:val="20"/>
        </w:rPr>
      </w:pPr>
      <w:r>
        <w:rPr>
          <w:rFonts w:eastAsia="Times New Roman"/>
        </w:rPr>
        <w:t xml:space="preserve">Adempas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riociguato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Riociguatas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grupės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guanilatciklazės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tGC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stimuliatoriumi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</w:t>
      </w:r>
      <w:proofErr w:type="spellEnd"/>
      <w:r>
        <w:rPr>
          <w:rFonts w:eastAsia="Times New Roman"/>
        </w:rPr>
        <w:t xml:space="preserve"> ų </w:t>
      </w:r>
      <w:proofErr w:type="spellStart"/>
      <w:r>
        <w:rPr>
          <w:rFonts w:eastAsia="Times New Roman"/>
        </w:rPr>
        <w:t>arterijas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kraujagysles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jungiančias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plaučiais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lengviau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pumpuoti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kraują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plaučius</w:t>
      </w:r>
      <w:proofErr w:type="spellEnd"/>
      <w:r>
        <w:rPr>
          <w:rFonts w:eastAsia="Times New Roman"/>
        </w:rPr>
        <w:t xml:space="preserve">. Adempas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hipertenzijos</w:t>
      </w:r>
      <w:proofErr w:type="spellEnd"/>
      <w:r>
        <w:rPr>
          <w:rFonts w:eastAsia="Times New Roman"/>
        </w:rPr>
        <w:t xml:space="preserve"> forma – b </w:t>
      </w:r>
      <w:proofErr w:type="spellStart"/>
      <w:r>
        <w:rPr>
          <w:rFonts w:eastAsia="Times New Roman"/>
        </w:rPr>
        <w:t>ūklė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susiaurėja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pumpuoti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Širdis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dirbti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žmogaus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plautine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hipertenzija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nuovargį</w:t>
      </w:r>
      <w:proofErr w:type="spellEnd"/>
      <w:r>
        <w:rPr>
          <w:rFonts w:eastAsia="Times New Roman"/>
        </w:rPr>
        <w:t xml:space="preserve">, galvos </w:t>
      </w:r>
      <w:proofErr w:type="spellStart"/>
      <w:r>
        <w:rPr>
          <w:rFonts w:eastAsia="Times New Roman"/>
        </w:rPr>
        <w:t>svaigimą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dusulį</w:t>
      </w:r>
      <w:proofErr w:type="spellEnd"/>
      <w:r>
        <w:rPr>
          <w:rFonts w:eastAsia="Times New Roman"/>
        </w:rPr>
        <w:t xml:space="preserve">. Adempas </w:t>
      </w:r>
      <w:proofErr w:type="spellStart"/>
      <w:r>
        <w:rPr>
          <w:rFonts w:eastAsia="Times New Roman"/>
        </w:rPr>
        <w:t>išplečia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susiaurėjusias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arterijas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pagerina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pajėgumą</w:t>
      </w:r>
      <w:proofErr w:type="spellEnd"/>
      <w:r>
        <w:rPr>
          <w:rFonts w:eastAsia="Times New Roman"/>
        </w:rPr>
        <w:t>.</w:t>
      </w:r>
    </w:p>
    <w:p w14:paraId="7AB09CB6" w14:textId="77777777" w:rsidR="00973E5E" w:rsidRDefault="00973E5E" w:rsidP="00973E5E">
      <w:pPr>
        <w:spacing w:line="224" w:lineRule="exact"/>
        <w:rPr>
          <w:sz w:val="20"/>
          <w:szCs w:val="20"/>
        </w:rPr>
      </w:pPr>
    </w:p>
    <w:p w14:paraId="6478FCF5" w14:textId="77777777" w:rsidR="00973E5E" w:rsidRDefault="00973E5E" w:rsidP="00973E5E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Adempas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dviejų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hipertenzijos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tipų</w:t>
      </w:r>
      <w:proofErr w:type="spellEnd"/>
      <w:r>
        <w:rPr>
          <w:rFonts w:eastAsia="Times New Roman"/>
        </w:rPr>
        <w:t>:</w:t>
      </w:r>
    </w:p>
    <w:p w14:paraId="108D332D" w14:textId="77777777" w:rsidR="00973E5E" w:rsidRDefault="00973E5E" w:rsidP="00973E5E">
      <w:pPr>
        <w:spacing w:line="266" w:lineRule="exact"/>
        <w:rPr>
          <w:sz w:val="20"/>
          <w:szCs w:val="20"/>
        </w:rPr>
      </w:pPr>
    </w:p>
    <w:p w14:paraId="13F0F59B" w14:textId="77777777" w:rsidR="00973E5E" w:rsidRDefault="00973E5E" w:rsidP="00973E5E">
      <w:pPr>
        <w:ind w:left="6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lėtinė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tromboembolinė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plautinė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hipertenzija</w:t>
      </w:r>
      <w:proofErr w:type="spellEnd"/>
      <w:r>
        <w:rPr>
          <w:rFonts w:eastAsia="Times New Roman"/>
          <w:b/>
          <w:bCs/>
        </w:rPr>
        <w:t xml:space="preserve"> (LTEPH)</w:t>
      </w:r>
    </w:p>
    <w:p w14:paraId="1E0AEDE3" w14:textId="77777777" w:rsidR="00973E5E" w:rsidRDefault="00973E5E" w:rsidP="00973E5E">
      <w:pPr>
        <w:spacing w:line="4" w:lineRule="exact"/>
        <w:rPr>
          <w:sz w:val="20"/>
          <w:szCs w:val="20"/>
        </w:rPr>
      </w:pPr>
    </w:p>
    <w:p w14:paraId="2454E83F" w14:textId="77777777" w:rsidR="00973E5E" w:rsidRDefault="00973E5E" w:rsidP="00973E5E">
      <w:pPr>
        <w:spacing w:line="246" w:lineRule="auto"/>
        <w:ind w:left="562" w:right="164" w:hanging="1"/>
        <w:rPr>
          <w:sz w:val="20"/>
          <w:szCs w:val="20"/>
        </w:rPr>
      </w:pPr>
      <w:proofErr w:type="spellStart"/>
      <w:r>
        <w:rPr>
          <w:rFonts w:eastAsia="Times New Roman"/>
        </w:rPr>
        <w:t>Sergant</w:t>
      </w:r>
      <w:proofErr w:type="spellEnd"/>
      <w:r>
        <w:rPr>
          <w:rFonts w:eastAsia="Times New Roman"/>
        </w:rPr>
        <w:t xml:space="preserve"> LTEPH,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užsikemša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susiaurėja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kraujagyslės</w:t>
      </w:r>
      <w:proofErr w:type="spellEnd"/>
      <w:r>
        <w:rPr>
          <w:rFonts w:eastAsia="Times New Roman"/>
        </w:rPr>
        <w:t xml:space="preserve">. Adempas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LTEPH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operuoti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operacijos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išliko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padidėjo</w:t>
      </w:r>
      <w:proofErr w:type="spellEnd"/>
      <w:r>
        <w:rPr>
          <w:rFonts w:eastAsia="Times New Roman"/>
        </w:rPr>
        <w:t>.</w:t>
      </w:r>
    </w:p>
    <w:p w14:paraId="685E7700" w14:textId="77777777" w:rsidR="00973E5E" w:rsidRDefault="00973E5E" w:rsidP="00973E5E">
      <w:pPr>
        <w:spacing w:line="1" w:lineRule="exact"/>
        <w:rPr>
          <w:sz w:val="20"/>
          <w:szCs w:val="20"/>
        </w:rPr>
      </w:pPr>
    </w:p>
    <w:p w14:paraId="0B082B19" w14:textId="77777777" w:rsidR="00973E5E" w:rsidRDefault="00973E5E" w:rsidP="00973E5E">
      <w:pPr>
        <w:ind w:left="62"/>
        <w:rPr>
          <w:sz w:val="20"/>
          <w:szCs w:val="20"/>
        </w:rPr>
      </w:pPr>
      <w:r>
        <w:rPr>
          <w:rFonts w:eastAsia="Times New Roman"/>
          <w:b/>
          <w:bCs/>
        </w:rPr>
        <w:t xml:space="preserve">tam </w:t>
      </w:r>
      <w:proofErr w:type="spellStart"/>
      <w:r>
        <w:rPr>
          <w:rFonts w:eastAsia="Times New Roman"/>
          <w:b/>
          <w:bCs/>
        </w:rPr>
        <w:t>tikrų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tipų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plautinė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arterinė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hipertenzija</w:t>
      </w:r>
      <w:proofErr w:type="spellEnd"/>
      <w:r>
        <w:rPr>
          <w:rFonts w:eastAsia="Times New Roman"/>
          <w:b/>
          <w:bCs/>
        </w:rPr>
        <w:t xml:space="preserve"> (PAH)</w:t>
      </w:r>
    </w:p>
    <w:p w14:paraId="536A075E" w14:textId="77777777" w:rsidR="00973E5E" w:rsidRDefault="00973E5E" w:rsidP="00973E5E">
      <w:pPr>
        <w:spacing w:line="251" w:lineRule="auto"/>
        <w:ind w:left="562" w:right="324"/>
        <w:rPr>
          <w:sz w:val="20"/>
          <w:szCs w:val="20"/>
        </w:rPr>
      </w:pPr>
      <w:proofErr w:type="spellStart"/>
      <w:r>
        <w:rPr>
          <w:rFonts w:eastAsia="Times New Roman"/>
        </w:rPr>
        <w:t>Sergant</w:t>
      </w:r>
      <w:proofErr w:type="spellEnd"/>
      <w:r>
        <w:rPr>
          <w:rFonts w:eastAsia="Times New Roman"/>
        </w:rPr>
        <w:t xml:space="preserve"> PAH, </w:t>
      </w:r>
      <w:proofErr w:type="spellStart"/>
      <w:r>
        <w:rPr>
          <w:rFonts w:eastAsia="Times New Roman"/>
        </w:rPr>
        <w:t>sustorėja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sienelės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susiaurėja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kraujagyslės</w:t>
      </w:r>
      <w:proofErr w:type="spellEnd"/>
      <w:r>
        <w:rPr>
          <w:rFonts w:eastAsia="Times New Roman"/>
        </w:rPr>
        <w:t xml:space="preserve">. Adempas </w:t>
      </w:r>
      <w:proofErr w:type="spellStart"/>
      <w:r>
        <w:rPr>
          <w:rFonts w:eastAsia="Times New Roman"/>
        </w:rPr>
        <w:t>skiriamas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esant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tikroms</w:t>
      </w:r>
      <w:proofErr w:type="spellEnd"/>
      <w:r>
        <w:rPr>
          <w:rFonts w:eastAsia="Times New Roman"/>
        </w:rPr>
        <w:t xml:space="preserve"> PAH </w:t>
      </w:r>
      <w:proofErr w:type="spellStart"/>
      <w:r>
        <w:rPr>
          <w:rFonts w:eastAsia="Times New Roman"/>
        </w:rPr>
        <w:t>formoms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t.y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idiopatinei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nežinomos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priežasties</w:t>
      </w:r>
      <w:proofErr w:type="spellEnd"/>
      <w:r>
        <w:rPr>
          <w:rFonts w:eastAsia="Times New Roman"/>
        </w:rPr>
        <w:t xml:space="preserve">) PAH, </w:t>
      </w:r>
      <w:proofErr w:type="spellStart"/>
      <w:r>
        <w:rPr>
          <w:rFonts w:eastAsia="Times New Roman"/>
        </w:rPr>
        <w:t>paveldimai</w:t>
      </w:r>
      <w:proofErr w:type="spellEnd"/>
      <w:r>
        <w:rPr>
          <w:rFonts w:eastAsia="Times New Roman"/>
        </w:rPr>
        <w:t xml:space="preserve"> PAH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jungiamojo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audinio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sukeltai</w:t>
      </w:r>
      <w:proofErr w:type="spellEnd"/>
      <w:r>
        <w:rPr>
          <w:rFonts w:eastAsia="Times New Roman"/>
        </w:rPr>
        <w:t xml:space="preserve"> PAH.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patikrins</w:t>
      </w:r>
      <w:proofErr w:type="spellEnd"/>
      <w:r>
        <w:rPr>
          <w:rFonts w:eastAsia="Times New Roman"/>
        </w:rPr>
        <w:t xml:space="preserve">. Adempas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PAH.</w:t>
      </w:r>
    </w:p>
    <w:p w14:paraId="25A97E36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725BA805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4149AFD1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42EAC343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4351AF1E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2FB7DA35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3B3AE198" w14:textId="77777777" w:rsidR="00973E5E" w:rsidRDefault="00973E5E" w:rsidP="00973E5E">
      <w:pPr>
        <w:spacing w:line="250" w:lineRule="exact"/>
        <w:rPr>
          <w:sz w:val="20"/>
          <w:szCs w:val="20"/>
        </w:rPr>
      </w:pPr>
    </w:p>
    <w:p w14:paraId="5CED62DA" w14:textId="77777777" w:rsidR="00973E5E" w:rsidRDefault="00973E5E" w:rsidP="00973E5E">
      <w:pPr>
        <w:ind w:right="6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</w:t>
      </w:r>
    </w:p>
    <w:p w14:paraId="19F62ED9" w14:textId="77777777" w:rsidR="00973E5E" w:rsidRDefault="00973E5E" w:rsidP="00973E5E">
      <w:pPr>
        <w:sectPr w:rsidR="00973E5E">
          <w:pgSz w:w="11900" w:h="16840"/>
          <w:pgMar w:top="1374" w:right="1440" w:bottom="184" w:left="1418" w:header="0" w:footer="0" w:gutter="0"/>
          <w:cols w:space="720" w:equalWidth="0">
            <w:col w:w="9046"/>
          </w:cols>
        </w:sectPr>
      </w:pPr>
    </w:p>
    <w:p w14:paraId="146FF2A8" w14:textId="77777777" w:rsidR="00973E5E" w:rsidRDefault="00973E5E" w:rsidP="00973E5E">
      <w:pPr>
        <w:numPr>
          <w:ilvl w:val="0"/>
          <w:numId w:val="4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bookmarkStart w:id="1" w:name="page34"/>
      <w:bookmarkEnd w:id="1"/>
      <w:r>
        <w:rPr>
          <w:rFonts w:eastAsia="Times New Roman"/>
          <w:b/>
          <w:bCs/>
        </w:rPr>
        <w:lastRenderedPageBreak/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Adempas</w:t>
      </w:r>
    </w:p>
    <w:p w14:paraId="25BCD6DF" w14:textId="77777777" w:rsidR="00973E5E" w:rsidRDefault="00973E5E" w:rsidP="00973E5E">
      <w:pPr>
        <w:spacing w:line="259" w:lineRule="exact"/>
        <w:rPr>
          <w:sz w:val="20"/>
          <w:szCs w:val="20"/>
        </w:rPr>
      </w:pPr>
    </w:p>
    <w:p w14:paraId="588BF98F" w14:textId="77777777" w:rsidR="00973E5E" w:rsidRDefault="00973E5E" w:rsidP="00973E5E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Adempas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  <w:b/>
          <w:bCs/>
        </w:rPr>
        <w:t>:</w:t>
      </w:r>
    </w:p>
    <w:p w14:paraId="0CF1C6E8" w14:textId="77777777" w:rsidR="00973E5E" w:rsidRDefault="00973E5E" w:rsidP="00973E5E">
      <w:pPr>
        <w:spacing w:line="9" w:lineRule="exact"/>
        <w:rPr>
          <w:sz w:val="20"/>
          <w:szCs w:val="20"/>
        </w:rPr>
      </w:pPr>
    </w:p>
    <w:p w14:paraId="32687199" w14:textId="77777777" w:rsidR="00973E5E" w:rsidRDefault="00973E5E" w:rsidP="00973E5E">
      <w:pPr>
        <w:numPr>
          <w:ilvl w:val="0"/>
          <w:numId w:val="5"/>
        </w:numPr>
        <w:tabs>
          <w:tab w:val="left" w:pos="562"/>
        </w:tabs>
        <w:spacing w:line="242" w:lineRule="auto"/>
        <w:ind w:left="562" w:right="304" w:hanging="562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vadinamus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FDE5 </w:t>
      </w:r>
      <w:proofErr w:type="spellStart"/>
      <w:r>
        <w:rPr>
          <w:rFonts w:eastAsia="Times New Roman"/>
          <w:b/>
          <w:bCs/>
        </w:rPr>
        <w:t>inhibitoriais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sildenafilį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tadalafilį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vardenafilį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Šie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kraujospūdžiui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arterijose</w:t>
      </w:r>
      <w:proofErr w:type="spellEnd"/>
      <w:r>
        <w:rPr>
          <w:rFonts w:eastAsia="Times New Roman"/>
        </w:rPr>
        <w:t xml:space="preserve"> (PAH)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sutrikimui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;</w:t>
      </w:r>
      <w:proofErr w:type="gramEnd"/>
    </w:p>
    <w:p w14:paraId="6BDAC0B6" w14:textId="77777777" w:rsidR="00973E5E" w:rsidRDefault="00973E5E" w:rsidP="00973E5E">
      <w:pPr>
        <w:spacing w:line="2" w:lineRule="exact"/>
        <w:rPr>
          <w:rFonts w:eastAsia="Times New Roman"/>
        </w:rPr>
      </w:pPr>
    </w:p>
    <w:p w14:paraId="422006EB" w14:textId="77777777" w:rsidR="00973E5E" w:rsidRDefault="00973E5E" w:rsidP="00973E5E">
      <w:pPr>
        <w:numPr>
          <w:ilvl w:val="0"/>
          <w:numId w:val="5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sunkia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liga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>, Child Pugh C</w:t>
      </w:r>
      <w:proofErr w:type="gramStart"/>
      <w:r>
        <w:rPr>
          <w:rFonts w:eastAsia="Times New Roman"/>
        </w:rPr>
        <w:t>);</w:t>
      </w:r>
      <w:proofErr w:type="gramEnd"/>
    </w:p>
    <w:p w14:paraId="61B64880" w14:textId="77777777" w:rsidR="00973E5E" w:rsidRDefault="00973E5E" w:rsidP="00973E5E">
      <w:pPr>
        <w:spacing w:line="6" w:lineRule="exact"/>
        <w:rPr>
          <w:rFonts w:eastAsia="Times New Roman"/>
        </w:rPr>
      </w:pPr>
    </w:p>
    <w:p w14:paraId="29083C41" w14:textId="77777777" w:rsidR="00973E5E" w:rsidRDefault="00973E5E" w:rsidP="00973E5E">
      <w:pPr>
        <w:numPr>
          <w:ilvl w:val="0"/>
          <w:numId w:val="5"/>
        </w:numPr>
        <w:tabs>
          <w:tab w:val="left" w:pos="562"/>
        </w:tabs>
        <w:spacing w:line="243" w:lineRule="auto"/>
        <w:ind w:left="562" w:right="424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riociguatui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3BFC56B7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5A9780CC" w14:textId="77777777" w:rsidR="00973E5E" w:rsidRDefault="00973E5E" w:rsidP="00973E5E">
      <w:pPr>
        <w:numPr>
          <w:ilvl w:val="0"/>
          <w:numId w:val="5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nėščia</w:t>
      </w:r>
      <w:proofErr w:type="spellEnd"/>
      <w:r>
        <w:rPr>
          <w:rFonts w:eastAsia="Times New Roman"/>
        </w:rPr>
        <w:t>;</w:t>
      </w:r>
      <w:proofErr w:type="gramEnd"/>
    </w:p>
    <w:p w14:paraId="0134F58B" w14:textId="77777777" w:rsidR="00973E5E" w:rsidRDefault="00973E5E" w:rsidP="00973E5E">
      <w:pPr>
        <w:spacing w:line="6" w:lineRule="exact"/>
        <w:rPr>
          <w:rFonts w:eastAsia="Times New Roman"/>
        </w:rPr>
      </w:pPr>
    </w:p>
    <w:p w14:paraId="67BC8A65" w14:textId="77777777" w:rsidR="00973E5E" w:rsidRDefault="00973E5E" w:rsidP="00973E5E">
      <w:pPr>
        <w:numPr>
          <w:ilvl w:val="0"/>
          <w:numId w:val="5"/>
        </w:numPr>
        <w:tabs>
          <w:tab w:val="left" w:pos="562"/>
        </w:tabs>
        <w:spacing w:line="242" w:lineRule="auto"/>
        <w:ind w:left="562" w:right="24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nitratus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azoto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oksido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donorus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amilnitritą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psichiką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veikiančius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)) bet </w:t>
      </w:r>
      <w:proofErr w:type="spellStart"/>
      <w:r>
        <w:rPr>
          <w:rFonts w:eastAsia="Times New Roman"/>
        </w:rPr>
        <w:t>kokia</w:t>
      </w:r>
      <w:proofErr w:type="spellEnd"/>
      <w:r>
        <w:rPr>
          <w:rFonts w:eastAsia="Times New Roman"/>
        </w:rPr>
        <w:t xml:space="preserve"> forma;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kraujospūdžio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priskiriami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narkotikai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vadinami</w:t>
      </w:r>
      <w:proofErr w:type="spellEnd"/>
      <w:r>
        <w:rPr>
          <w:rFonts w:eastAsia="Times New Roman"/>
        </w:rPr>
        <w:t xml:space="preserve"> „</w:t>
      </w:r>
      <w:proofErr w:type="spellStart"/>
      <w:proofErr w:type="gramStart"/>
      <w:r>
        <w:rPr>
          <w:rFonts w:eastAsia="Times New Roman"/>
        </w:rPr>
        <w:t>popersu</w:t>
      </w:r>
      <w:proofErr w:type="spellEnd"/>
      <w:r>
        <w:rPr>
          <w:rFonts w:eastAsia="Times New Roman"/>
        </w:rPr>
        <w:t>“ (</w:t>
      </w:r>
      <w:proofErr w:type="spellStart"/>
      <w:proofErr w:type="gramEnd"/>
      <w:r>
        <w:rPr>
          <w:rFonts w:eastAsia="Times New Roman"/>
        </w:rPr>
        <w:t>angl.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„</w:t>
      </w:r>
      <w:proofErr w:type="gramStart"/>
      <w:r>
        <w:rPr>
          <w:rFonts w:eastAsia="Times New Roman"/>
          <w:i/>
          <w:iCs/>
        </w:rPr>
        <w:t>poppers“</w:t>
      </w:r>
      <w:proofErr w:type="gramEnd"/>
      <w:r>
        <w:rPr>
          <w:rFonts w:eastAsia="Times New Roman"/>
        </w:rPr>
        <w:t>);</w:t>
      </w:r>
    </w:p>
    <w:p w14:paraId="471627AC" w14:textId="77777777" w:rsidR="00973E5E" w:rsidRDefault="00973E5E" w:rsidP="00973E5E">
      <w:pPr>
        <w:spacing w:line="2" w:lineRule="exact"/>
        <w:rPr>
          <w:rFonts w:eastAsia="Times New Roman"/>
        </w:rPr>
      </w:pPr>
    </w:p>
    <w:p w14:paraId="37FCD4C4" w14:textId="77777777" w:rsidR="00973E5E" w:rsidRDefault="00973E5E" w:rsidP="00973E5E">
      <w:pPr>
        <w:numPr>
          <w:ilvl w:val="0"/>
          <w:numId w:val="5"/>
        </w:numPr>
        <w:tabs>
          <w:tab w:val="left" w:pos="562"/>
        </w:tabs>
        <w:spacing w:line="241" w:lineRule="auto"/>
        <w:ind w:left="562" w:right="624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sumažėjęs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kraujospūdis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sistolinis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95 mmHg).</w:t>
      </w:r>
    </w:p>
    <w:p w14:paraId="797B3087" w14:textId="77777777" w:rsidR="00973E5E" w:rsidRDefault="00973E5E" w:rsidP="00973E5E">
      <w:pPr>
        <w:numPr>
          <w:ilvl w:val="0"/>
          <w:numId w:val="5"/>
        </w:numPr>
        <w:tabs>
          <w:tab w:val="left" w:pos="563"/>
        </w:tabs>
        <w:spacing w:line="243" w:lineRule="auto"/>
        <w:ind w:left="562" w:right="684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nežinomos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priežasties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audinio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surandėjimo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idiopatinio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uždegimo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spaudimas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>.</w:t>
      </w:r>
    </w:p>
    <w:p w14:paraId="06019645" w14:textId="77777777" w:rsidR="00973E5E" w:rsidRDefault="00973E5E" w:rsidP="00973E5E">
      <w:pPr>
        <w:spacing w:line="1" w:lineRule="exact"/>
        <w:rPr>
          <w:sz w:val="20"/>
          <w:szCs w:val="20"/>
        </w:rPr>
      </w:pPr>
    </w:p>
    <w:p w14:paraId="05EE85D9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/>
          <w:bCs/>
        </w:rPr>
        <w:t>pirma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pasitarkite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Adempas </w:t>
      </w:r>
      <w:proofErr w:type="spellStart"/>
      <w:r>
        <w:rPr>
          <w:rFonts w:eastAsia="Times New Roman"/>
        </w:rPr>
        <w:t>nevartokite</w:t>
      </w:r>
      <w:proofErr w:type="spellEnd"/>
      <w:r>
        <w:rPr>
          <w:rFonts w:eastAsia="Times New Roman"/>
        </w:rPr>
        <w:t>.</w:t>
      </w:r>
    </w:p>
    <w:p w14:paraId="2A9192D3" w14:textId="77777777" w:rsidR="00973E5E" w:rsidRDefault="00973E5E" w:rsidP="00973E5E">
      <w:pPr>
        <w:spacing w:line="260" w:lineRule="exact"/>
        <w:rPr>
          <w:sz w:val="20"/>
          <w:szCs w:val="20"/>
        </w:rPr>
      </w:pPr>
    </w:p>
    <w:p w14:paraId="2DBA7CF3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66583703" w14:textId="77777777" w:rsidR="00973E5E" w:rsidRDefault="00973E5E" w:rsidP="00973E5E">
      <w:pPr>
        <w:spacing w:line="4" w:lineRule="exact"/>
        <w:rPr>
          <w:sz w:val="20"/>
          <w:szCs w:val="20"/>
        </w:rPr>
      </w:pPr>
    </w:p>
    <w:p w14:paraId="61436BE5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Adempas,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>:</w:t>
      </w:r>
    </w:p>
    <w:p w14:paraId="728F090E" w14:textId="77777777" w:rsidR="00973E5E" w:rsidRDefault="00973E5E" w:rsidP="00973E5E">
      <w:pPr>
        <w:spacing w:line="6" w:lineRule="exact"/>
        <w:rPr>
          <w:sz w:val="20"/>
          <w:szCs w:val="20"/>
        </w:rPr>
      </w:pPr>
    </w:p>
    <w:p w14:paraId="745B4842" w14:textId="77777777" w:rsidR="00973E5E" w:rsidRDefault="00973E5E" w:rsidP="00973E5E">
      <w:pPr>
        <w:numPr>
          <w:ilvl w:val="0"/>
          <w:numId w:val="6"/>
        </w:numPr>
        <w:tabs>
          <w:tab w:val="left" w:pos="562"/>
        </w:tabs>
        <w:spacing w:line="245" w:lineRule="auto"/>
        <w:ind w:left="562" w:right="84" w:hanging="560"/>
        <w:rPr>
          <w:rFonts w:eastAsia="Times New Roman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kraujavimas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plaučių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taikytas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sustabdyti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kosėjimą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krauju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bronchų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arterijų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embolizacija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6CEFF4A6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4C897B11" w14:textId="77777777" w:rsidR="00973E5E" w:rsidRDefault="00973E5E" w:rsidP="00973E5E">
      <w:pPr>
        <w:numPr>
          <w:ilvl w:val="0"/>
          <w:numId w:val="6"/>
        </w:numPr>
        <w:tabs>
          <w:tab w:val="left" w:pos="562"/>
        </w:tabs>
        <w:spacing w:line="243" w:lineRule="auto"/>
        <w:ind w:left="562" w:right="424" w:hanging="560"/>
        <w:rPr>
          <w:rFonts w:eastAsia="Times New Roman"/>
        </w:rPr>
      </w:pP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kraują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skystinančius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antikoaguliantus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periodiškai</w:t>
      </w:r>
      <w:proofErr w:type="spellEnd"/>
      <w:r>
        <w:rPr>
          <w:rFonts w:eastAsia="Times New Roman"/>
        </w:rPr>
        <w:t xml:space="preserve"> Jus </w:t>
      </w:r>
      <w:proofErr w:type="spellStart"/>
      <w:proofErr w:type="gramStart"/>
      <w:r>
        <w:rPr>
          <w:rFonts w:eastAsia="Times New Roman"/>
        </w:rPr>
        <w:t>tikrins</w:t>
      </w:r>
      <w:proofErr w:type="spellEnd"/>
      <w:r>
        <w:rPr>
          <w:rFonts w:eastAsia="Times New Roman"/>
        </w:rPr>
        <w:t>;</w:t>
      </w:r>
      <w:proofErr w:type="gramEnd"/>
    </w:p>
    <w:p w14:paraId="51431145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14FA5298" w14:textId="77777777" w:rsidR="00973E5E" w:rsidRDefault="00973E5E" w:rsidP="00973E5E">
      <w:pPr>
        <w:numPr>
          <w:ilvl w:val="0"/>
          <w:numId w:val="6"/>
        </w:numPr>
        <w:tabs>
          <w:tab w:val="left" w:pos="561"/>
        </w:tabs>
        <w:spacing w:line="243" w:lineRule="auto"/>
        <w:ind w:left="562" w:right="184" w:hanging="560"/>
        <w:rPr>
          <w:rFonts w:eastAsia="Times New Roman"/>
        </w:rPr>
      </w:pP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jaučiate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dusulį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kaupimasis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plaučiuose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Tokiu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proofErr w:type="gram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;</w:t>
      </w:r>
      <w:proofErr w:type="gramEnd"/>
    </w:p>
    <w:p w14:paraId="623F527B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324C1A8B" w14:textId="77777777" w:rsidR="00973E5E" w:rsidRDefault="00973E5E" w:rsidP="00973E5E">
      <w:pPr>
        <w:numPr>
          <w:ilvl w:val="0"/>
          <w:numId w:val="6"/>
        </w:numPr>
        <w:tabs>
          <w:tab w:val="left" w:pos="562"/>
        </w:tabs>
        <w:spacing w:line="242" w:lineRule="auto"/>
        <w:ind w:left="562" w:right="24" w:hanging="562"/>
        <w:rPr>
          <w:rFonts w:eastAsia="Times New Roman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sumažėjusio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kraujospūdžio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hipotenzijos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svaigulys</w:t>
      </w:r>
      <w:proofErr w:type="spellEnd"/>
      <w:r>
        <w:rPr>
          <w:rFonts w:eastAsia="Times New Roman"/>
        </w:rPr>
        <w:t xml:space="preserve">, galvos </w:t>
      </w:r>
      <w:proofErr w:type="spellStart"/>
      <w:r>
        <w:rPr>
          <w:rFonts w:eastAsia="Times New Roman"/>
        </w:rPr>
        <w:t>sukimasis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alpimas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išsiskyrimą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skatinančių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apytakos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nuspręsti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65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išsivystymo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tikimybė</w:t>
      </w:r>
      <w:proofErr w:type="spellEnd"/>
      <w:r>
        <w:rPr>
          <w:rFonts w:eastAsia="Times New Roman"/>
        </w:rPr>
        <w:t>.</w:t>
      </w:r>
    </w:p>
    <w:p w14:paraId="2CA30284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04A44864" w14:textId="77777777" w:rsidR="00973E5E" w:rsidRDefault="00973E5E" w:rsidP="00973E5E">
      <w:pPr>
        <w:numPr>
          <w:ilvl w:val="0"/>
          <w:numId w:val="6"/>
        </w:numPr>
        <w:tabs>
          <w:tab w:val="left" w:pos="562"/>
        </w:tabs>
        <w:spacing w:line="243" w:lineRule="auto"/>
        <w:ind w:left="562" w:right="24" w:hanging="560"/>
        <w:rPr>
          <w:rFonts w:eastAsia="Times New Roman"/>
        </w:rPr>
      </w:pP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skirtų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grybelių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sukeltoms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infekcijoms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ketokonazolo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pozakonazolo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itrakonazolo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skirtų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ŽIV </w:t>
      </w:r>
      <w:proofErr w:type="spellStart"/>
      <w:r>
        <w:rPr>
          <w:rFonts w:eastAsia="Times New Roman"/>
          <w:b/>
          <w:bCs/>
        </w:rPr>
        <w:t>infekcijai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abakaviro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atazanaviro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kobicistato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darunaviro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dolutegraviro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efavirenzo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elvitegraviro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emtricitabino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lamivudino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rilpivirino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ritonaviro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tenofoviro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apsvarstyti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galimybę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pradinę</w:t>
      </w:r>
      <w:proofErr w:type="spellEnd"/>
      <w:r>
        <w:rPr>
          <w:rFonts w:eastAsia="Times New Roman"/>
        </w:rPr>
        <w:t xml:space="preserve"> Adempas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2D79CDEA" w14:textId="77777777" w:rsidR="00973E5E" w:rsidRDefault="00973E5E" w:rsidP="00973E5E">
      <w:pPr>
        <w:numPr>
          <w:ilvl w:val="0"/>
          <w:numId w:val="6"/>
        </w:numPr>
        <w:tabs>
          <w:tab w:val="left" w:pos="562"/>
        </w:tabs>
        <w:spacing w:line="245" w:lineRule="auto"/>
        <w:ind w:left="562" w:right="604" w:hanging="562"/>
        <w:rPr>
          <w:rFonts w:eastAsia="Times New Roman"/>
        </w:rPr>
      </w:pP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inkstai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neveikia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tinkamai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kreatinino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klirensas</w:t>
      </w:r>
      <w:proofErr w:type="spellEnd"/>
      <w:r>
        <w:rPr>
          <w:rFonts w:eastAsia="Times New Roman"/>
        </w:rPr>
        <w:t xml:space="preserve"> &lt; 30 ml/min.)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atliekama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dializė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nerekomenduojama</w:t>
      </w:r>
      <w:proofErr w:type="spellEnd"/>
      <w:r>
        <w:rPr>
          <w:rFonts w:eastAsia="Times New Roman"/>
        </w:rPr>
        <w:t>;</w:t>
      </w:r>
      <w:proofErr w:type="gramEnd"/>
    </w:p>
    <w:p w14:paraId="34DD5C94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2B357A0D" w14:textId="77777777" w:rsidR="00973E5E" w:rsidRDefault="00973E5E" w:rsidP="00973E5E">
      <w:pPr>
        <w:numPr>
          <w:ilvl w:val="0"/>
          <w:numId w:val="6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liga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sutrikimu</w:t>
      </w:r>
      <w:proofErr w:type="spellEnd"/>
      <w:r>
        <w:rPr>
          <w:rFonts w:eastAsia="Times New Roman"/>
        </w:rPr>
        <w:t>, Child Pugh B</w:t>
      </w:r>
      <w:proofErr w:type="gramStart"/>
      <w:r>
        <w:rPr>
          <w:rFonts w:eastAsia="Times New Roman"/>
        </w:rPr>
        <w:t>);</w:t>
      </w:r>
      <w:proofErr w:type="gramEnd"/>
    </w:p>
    <w:p w14:paraId="3D9807DC" w14:textId="77777777" w:rsidR="00973E5E" w:rsidRDefault="00973E5E" w:rsidP="00973E5E">
      <w:pPr>
        <w:spacing w:line="6" w:lineRule="exact"/>
        <w:rPr>
          <w:rFonts w:eastAsia="Times New Roman"/>
        </w:rPr>
      </w:pPr>
    </w:p>
    <w:p w14:paraId="0C72532C" w14:textId="77777777" w:rsidR="00973E5E" w:rsidRDefault="00973E5E" w:rsidP="00973E5E">
      <w:pPr>
        <w:numPr>
          <w:ilvl w:val="0"/>
          <w:numId w:val="6"/>
        </w:numPr>
        <w:tabs>
          <w:tab w:val="left" w:pos="561"/>
        </w:tabs>
        <w:spacing w:line="272" w:lineRule="auto"/>
        <w:ind w:left="562" w:right="1124" w:hanging="562"/>
        <w:rPr>
          <w:rFonts w:eastAsia="Times New Roman"/>
        </w:rPr>
      </w:pP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rūkyti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įtakos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riociguato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.</w:t>
      </w:r>
    </w:p>
    <w:p w14:paraId="18ED8711" w14:textId="77777777" w:rsidR="00973E5E" w:rsidRDefault="00973E5E" w:rsidP="00973E5E">
      <w:pPr>
        <w:spacing w:line="190" w:lineRule="exact"/>
        <w:rPr>
          <w:sz w:val="20"/>
          <w:szCs w:val="20"/>
        </w:rPr>
      </w:pPr>
    </w:p>
    <w:p w14:paraId="6B6366F9" w14:textId="77777777" w:rsidR="00973E5E" w:rsidRDefault="00973E5E" w:rsidP="00973E5E">
      <w:pPr>
        <w:spacing w:line="256" w:lineRule="auto"/>
        <w:ind w:left="2" w:right="64"/>
        <w:rPr>
          <w:sz w:val="20"/>
          <w:szCs w:val="20"/>
        </w:rPr>
      </w:pPr>
      <w:r>
        <w:rPr>
          <w:rFonts w:eastAsia="Times New Roman"/>
        </w:rPr>
        <w:t xml:space="preserve">Adempas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skiriamas</w:t>
      </w:r>
      <w:proofErr w:type="spellEnd"/>
      <w:r>
        <w:rPr>
          <w:rFonts w:eastAsia="Times New Roman"/>
        </w:rPr>
        <w:t xml:space="preserve"> tik tam </w:t>
      </w:r>
      <w:proofErr w:type="spellStart"/>
      <w:r>
        <w:rPr>
          <w:rFonts w:eastAsia="Times New Roman"/>
        </w:rPr>
        <w:t>tikrų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plautinei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arterinei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hipertenzijai</w:t>
      </w:r>
      <w:proofErr w:type="spellEnd"/>
      <w:r>
        <w:rPr>
          <w:rFonts w:eastAsia="Times New Roman"/>
        </w:rPr>
        <w:t xml:space="preserve"> (PAH)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1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Patirties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Adempas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formų</w:t>
      </w:r>
      <w:proofErr w:type="spellEnd"/>
      <w:r>
        <w:rPr>
          <w:rFonts w:eastAsia="Times New Roman"/>
        </w:rPr>
        <w:t xml:space="preserve"> PAH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, n </w:t>
      </w:r>
      <w:proofErr w:type="spellStart"/>
      <w:r>
        <w:rPr>
          <w:rFonts w:eastAsia="Times New Roman"/>
        </w:rPr>
        <w:t>ėra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Taigi</w:t>
      </w:r>
      <w:proofErr w:type="spellEnd"/>
      <w:r>
        <w:rPr>
          <w:rFonts w:eastAsia="Times New Roman"/>
        </w:rPr>
        <w:t xml:space="preserve"> Adempas </w:t>
      </w:r>
      <w:proofErr w:type="spellStart"/>
      <w:r>
        <w:rPr>
          <w:rFonts w:eastAsia="Times New Roman"/>
        </w:rPr>
        <w:t>nerekomenduojama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formų</w:t>
      </w:r>
      <w:proofErr w:type="spellEnd"/>
      <w:r>
        <w:rPr>
          <w:rFonts w:eastAsia="Times New Roman"/>
        </w:rPr>
        <w:t xml:space="preserve"> PAH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patikrins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Adempas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>.</w:t>
      </w:r>
    </w:p>
    <w:p w14:paraId="5F724974" w14:textId="77777777" w:rsidR="00973E5E" w:rsidRDefault="00973E5E" w:rsidP="00973E5E">
      <w:pPr>
        <w:spacing w:line="213" w:lineRule="exact"/>
        <w:rPr>
          <w:sz w:val="20"/>
          <w:szCs w:val="20"/>
        </w:rPr>
      </w:pPr>
    </w:p>
    <w:p w14:paraId="3E78CFAA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3BC39582" w14:textId="77777777" w:rsidR="00973E5E" w:rsidRDefault="00973E5E" w:rsidP="00973E5E">
      <w:pPr>
        <w:spacing w:line="4" w:lineRule="exact"/>
        <w:rPr>
          <w:sz w:val="20"/>
          <w:szCs w:val="20"/>
        </w:rPr>
      </w:pPr>
    </w:p>
    <w:p w14:paraId="594B7384" w14:textId="77777777" w:rsidR="00973E5E" w:rsidRDefault="00973E5E" w:rsidP="00973E5E">
      <w:pPr>
        <w:spacing w:line="272" w:lineRule="auto"/>
        <w:ind w:left="2" w:right="244"/>
        <w:rPr>
          <w:sz w:val="20"/>
          <w:szCs w:val="20"/>
        </w:rPr>
      </w:pPr>
      <w:r>
        <w:rPr>
          <w:rFonts w:eastAsia="Times New Roman"/>
        </w:rPr>
        <w:t xml:space="preserve">Adempas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18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grupei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neištirti</w:t>
      </w:r>
      <w:proofErr w:type="spellEnd"/>
      <w:r>
        <w:rPr>
          <w:rFonts w:eastAsia="Times New Roman"/>
        </w:rPr>
        <w:t>.</w:t>
      </w:r>
    </w:p>
    <w:p w14:paraId="3E9B803F" w14:textId="77777777" w:rsidR="00973E5E" w:rsidRDefault="00973E5E" w:rsidP="00973E5E">
      <w:pPr>
        <w:spacing w:line="191" w:lineRule="exact"/>
        <w:rPr>
          <w:sz w:val="20"/>
          <w:szCs w:val="20"/>
        </w:rPr>
      </w:pPr>
    </w:p>
    <w:p w14:paraId="6E93BCF0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Adempas</w:t>
      </w:r>
    </w:p>
    <w:p w14:paraId="34C42B0A" w14:textId="77777777" w:rsidR="00973E5E" w:rsidRDefault="00973E5E" w:rsidP="00973E5E">
      <w:pPr>
        <w:spacing w:line="4" w:lineRule="exact"/>
        <w:rPr>
          <w:sz w:val="20"/>
          <w:szCs w:val="20"/>
        </w:rPr>
      </w:pPr>
    </w:p>
    <w:p w14:paraId="64B3EF2E" w14:textId="77777777" w:rsidR="00973E5E" w:rsidRDefault="00973E5E" w:rsidP="00973E5E">
      <w:pPr>
        <w:spacing w:line="241" w:lineRule="auto"/>
        <w:ind w:left="2" w:right="224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ypač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>:</w:t>
      </w:r>
    </w:p>
    <w:p w14:paraId="65EB9BAA" w14:textId="77777777" w:rsidR="00973E5E" w:rsidRDefault="00973E5E" w:rsidP="00973E5E">
      <w:pPr>
        <w:spacing w:line="1" w:lineRule="exact"/>
        <w:rPr>
          <w:sz w:val="20"/>
          <w:szCs w:val="20"/>
        </w:rPr>
      </w:pPr>
    </w:p>
    <w:p w14:paraId="1ABFAE70" w14:textId="77777777" w:rsidR="00973E5E" w:rsidRDefault="00973E5E" w:rsidP="00973E5E">
      <w:pPr>
        <w:numPr>
          <w:ilvl w:val="0"/>
          <w:numId w:val="7"/>
        </w:numPr>
        <w:tabs>
          <w:tab w:val="left" w:pos="562"/>
        </w:tabs>
        <w:spacing w:line="272" w:lineRule="auto"/>
        <w:ind w:left="562" w:right="624" w:hanging="560"/>
        <w:rPr>
          <w:rFonts w:eastAsia="Times New Roman"/>
        </w:rPr>
      </w:pPr>
      <w:r>
        <w:rPr>
          <w:rFonts w:eastAsia="Times New Roman"/>
        </w:rPr>
        <w:t xml:space="preserve">bet </w:t>
      </w:r>
      <w:proofErr w:type="spellStart"/>
      <w:r>
        <w:rPr>
          <w:rFonts w:eastAsia="Times New Roman"/>
        </w:rPr>
        <w:t>kokios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nitratų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amilnitrito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Adempas;</w:t>
      </w:r>
      <w:proofErr w:type="gramEnd"/>
    </w:p>
    <w:p w14:paraId="4693C4D2" w14:textId="77777777" w:rsidR="00973E5E" w:rsidRDefault="00973E5E" w:rsidP="00973E5E">
      <w:pPr>
        <w:sectPr w:rsidR="00973E5E">
          <w:pgSz w:w="11900" w:h="16840"/>
          <w:pgMar w:top="1120" w:right="1440" w:bottom="184" w:left="1418" w:header="0" w:footer="0" w:gutter="0"/>
          <w:cols w:space="720" w:equalWidth="0">
            <w:col w:w="9046"/>
          </w:cols>
        </w:sectPr>
      </w:pPr>
    </w:p>
    <w:p w14:paraId="2DF286BB" w14:textId="77777777" w:rsidR="00973E5E" w:rsidRDefault="00973E5E" w:rsidP="00973E5E">
      <w:pPr>
        <w:spacing w:line="364" w:lineRule="exact"/>
        <w:rPr>
          <w:sz w:val="20"/>
          <w:szCs w:val="20"/>
        </w:rPr>
      </w:pPr>
    </w:p>
    <w:p w14:paraId="4C2770A0" w14:textId="77777777" w:rsidR="00973E5E" w:rsidRDefault="00973E5E" w:rsidP="00973E5E">
      <w:pPr>
        <w:ind w:right="6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</w:t>
      </w:r>
    </w:p>
    <w:p w14:paraId="201888E9" w14:textId="77777777" w:rsidR="00973E5E" w:rsidRDefault="00973E5E" w:rsidP="00973E5E">
      <w:pPr>
        <w:sectPr w:rsidR="00973E5E">
          <w:type w:val="continuous"/>
          <w:pgSz w:w="11900" w:h="16840"/>
          <w:pgMar w:top="1120" w:right="1440" w:bottom="184" w:left="1418" w:header="0" w:footer="0" w:gutter="0"/>
          <w:cols w:space="720" w:equalWidth="0">
            <w:col w:w="9046"/>
          </w:cols>
        </w:sectPr>
      </w:pPr>
    </w:p>
    <w:p w14:paraId="684923DD" w14:textId="77777777" w:rsidR="00973E5E" w:rsidRDefault="00973E5E" w:rsidP="00973E5E">
      <w:pPr>
        <w:numPr>
          <w:ilvl w:val="0"/>
          <w:numId w:val="8"/>
        </w:numPr>
        <w:tabs>
          <w:tab w:val="left" w:pos="561"/>
        </w:tabs>
        <w:spacing w:line="241" w:lineRule="auto"/>
        <w:ind w:left="562" w:right="44" w:hanging="562"/>
        <w:rPr>
          <w:rFonts w:eastAsia="Times New Roman"/>
        </w:rPr>
      </w:pPr>
      <w:bookmarkStart w:id="2" w:name="page35"/>
      <w:bookmarkEnd w:id="2"/>
      <w:proofErr w:type="spellStart"/>
      <w:r>
        <w:rPr>
          <w:rFonts w:eastAsia="Times New Roman"/>
        </w:rPr>
        <w:lastRenderedPageBreak/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kraujagyslėse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arterijose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sildenafilio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tadalafilio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Adempas.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kraujagyslėse</w:t>
      </w:r>
      <w:proofErr w:type="spellEnd"/>
      <w:r>
        <w:rPr>
          <w:rFonts w:eastAsia="Times New Roman"/>
        </w:rPr>
        <w:t xml:space="preserve"> (PAH),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bozentano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iloprosto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, bet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vis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;</w:t>
      </w:r>
      <w:proofErr w:type="gramEnd"/>
    </w:p>
    <w:p w14:paraId="58F1D197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500274CE" w14:textId="77777777" w:rsidR="00973E5E" w:rsidRDefault="00973E5E" w:rsidP="00973E5E">
      <w:pPr>
        <w:numPr>
          <w:ilvl w:val="0"/>
          <w:numId w:val="8"/>
        </w:numPr>
        <w:tabs>
          <w:tab w:val="left" w:pos="562"/>
        </w:tabs>
        <w:spacing w:line="241" w:lineRule="auto"/>
        <w:ind w:left="562" w:right="384" w:hanging="560"/>
        <w:rPr>
          <w:rFonts w:eastAsia="Times New Roman"/>
        </w:rPr>
      </w:pP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sildenafilio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tadalafilio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vardenafilio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Adempas;</w:t>
      </w:r>
      <w:proofErr w:type="gramEnd"/>
    </w:p>
    <w:p w14:paraId="0947F2B5" w14:textId="77777777" w:rsidR="00973E5E" w:rsidRDefault="00973E5E" w:rsidP="00973E5E">
      <w:pPr>
        <w:numPr>
          <w:ilvl w:val="0"/>
          <w:numId w:val="8"/>
        </w:numPr>
        <w:tabs>
          <w:tab w:val="left" w:pos="561"/>
        </w:tabs>
        <w:spacing w:line="241" w:lineRule="auto"/>
        <w:ind w:left="562" w:right="184" w:hanging="560"/>
        <w:rPr>
          <w:rFonts w:eastAsia="Times New Roman"/>
        </w:rPr>
      </w:pP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grybelinių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ketokonazolo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pozakonazolo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itrakonazolo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ŽIV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abakaviro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atazanaviro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kobicistato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darunaviro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dolutegraviro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efavirenzo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elvitegraviro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emtricitabino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rilpivirino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ritonaviro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svarstomos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alternatyvaus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galimybės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Adempas,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apsvarstyti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galimybę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pradinę</w:t>
      </w:r>
      <w:proofErr w:type="spellEnd"/>
      <w:r>
        <w:rPr>
          <w:rFonts w:eastAsia="Times New Roman"/>
        </w:rPr>
        <w:t xml:space="preserve"> Adempas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2836C480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581D258F" w14:textId="77777777" w:rsidR="00973E5E" w:rsidRDefault="00973E5E" w:rsidP="00973E5E">
      <w:pPr>
        <w:numPr>
          <w:ilvl w:val="0"/>
          <w:numId w:val="8"/>
        </w:numPr>
        <w:tabs>
          <w:tab w:val="left" w:pos="562"/>
        </w:tabs>
        <w:ind w:left="562" w:hanging="559"/>
        <w:rPr>
          <w:rFonts w:eastAsia="Times New Roman"/>
        </w:rPr>
      </w:pP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epilepsijos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fenitoino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karbamazepino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fenobarbitono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136CE97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5EA0696B" w14:textId="77777777" w:rsidR="00973E5E" w:rsidRDefault="00973E5E" w:rsidP="00973E5E">
      <w:pPr>
        <w:numPr>
          <w:ilvl w:val="0"/>
          <w:numId w:val="8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depresijos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jonažolės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preparatų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4AF923BC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52DCB26C" w14:textId="77777777" w:rsidR="00973E5E" w:rsidRDefault="00973E5E" w:rsidP="00973E5E">
      <w:pPr>
        <w:numPr>
          <w:ilvl w:val="0"/>
          <w:numId w:val="8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persodintų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atmetimo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prevencijai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ciklosporino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7B5ABE1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0F8FBDFE" w14:textId="77777777" w:rsidR="00973E5E" w:rsidRDefault="00973E5E" w:rsidP="00973E5E">
      <w:pPr>
        <w:numPr>
          <w:ilvl w:val="0"/>
          <w:numId w:val="8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niflumo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rūgšties</w:t>
      </w:r>
      <w:proofErr w:type="spellEnd"/>
      <w:r>
        <w:rPr>
          <w:rFonts w:eastAsia="Times New Roman"/>
        </w:rPr>
        <w:t>),</w:t>
      </w:r>
    </w:p>
    <w:p w14:paraId="18787871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60B13F3F" w14:textId="77777777" w:rsidR="00973E5E" w:rsidRDefault="00973E5E" w:rsidP="00973E5E">
      <w:pPr>
        <w:numPr>
          <w:ilvl w:val="0"/>
          <w:numId w:val="8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erlotinibo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gefitinibo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0AD43692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0A3E3AFC" w14:textId="77777777" w:rsidR="00973E5E" w:rsidRDefault="00973E5E" w:rsidP="00973E5E">
      <w:pPr>
        <w:numPr>
          <w:ilvl w:val="0"/>
          <w:numId w:val="8"/>
        </w:numPr>
        <w:tabs>
          <w:tab w:val="left" w:pos="561"/>
        </w:tabs>
        <w:spacing w:line="241" w:lineRule="auto"/>
        <w:ind w:left="562" w:right="124" w:hanging="561"/>
        <w:rPr>
          <w:rFonts w:eastAsia="Times New Roman"/>
        </w:rPr>
      </w:pP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rėmens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mažinančių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rūgštingumą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aliuminio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hidroksido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magnio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hidroksido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Šiuos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rūgštingumą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mažinančius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likus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valandoms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Adempas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praėjus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valandai</w:t>
      </w:r>
      <w:proofErr w:type="spellEnd"/>
      <w:r>
        <w:rPr>
          <w:rFonts w:eastAsia="Times New Roman"/>
        </w:rPr>
        <w:t xml:space="preserve"> po </w:t>
      </w:r>
      <w:proofErr w:type="gramStart"/>
      <w:r>
        <w:rPr>
          <w:rFonts w:eastAsia="Times New Roman"/>
        </w:rPr>
        <w:t>jo;</w:t>
      </w:r>
      <w:proofErr w:type="gramEnd"/>
    </w:p>
    <w:p w14:paraId="10699504" w14:textId="77777777" w:rsidR="00973E5E" w:rsidRDefault="00973E5E" w:rsidP="00973E5E">
      <w:pPr>
        <w:spacing w:line="1" w:lineRule="exact"/>
        <w:rPr>
          <w:rFonts w:eastAsia="Times New Roman"/>
        </w:rPr>
      </w:pPr>
    </w:p>
    <w:p w14:paraId="3D866829" w14:textId="77777777" w:rsidR="00973E5E" w:rsidRDefault="00973E5E" w:rsidP="00973E5E">
      <w:pPr>
        <w:numPr>
          <w:ilvl w:val="0"/>
          <w:numId w:val="8"/>
        </w:numPr>
        <w:tabs>
          <w:tab w:val="left" w:pos="562"/>
        </w:tabs>
        <w:ind w:left="562" w:hanging="560"/>
        <w:rPr>
          <w:rFonts w:eastAsia="Times New Roman"/>
        </w:rPr>
      </w:pP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pykinimo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vėmimo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granisetrono</w:t>
      </w:r>
      <w:proofErr w:type="spellEnd"/>
      <w:r>
        <w:rPr>
          <w:rFonts w:eastAsia="Times New Roman"/>
        </w:rPr>
        <w:t>).</w:t>
      </w:r>
    </w:p>
    <w:p w14:paraId="6856BF17" w14:textId="77777777" w:rsidR="00973E5E" w:rsidRDefault="00973E5E" w:rsidP="00973E5E">
      <w:pPr>
        <w:spacing w:line="261" w:lineRule="exact"/>
        <w:rPr>
          <w:sz w:val="20"/>
          <w:szCs w:val="20"/>
        </w:rPr>
      </w:pPr>
    </w:p>
    <w:p w14:paraId="62EDB928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Rūkymas</w:t>
      </w:r>
      <w:proofErr w:type="spellEnd"/>
    </w:p>
    <w:p w14:paraId="54E531A2" w14:textId="77777777" w:rsidR="00973E5E" w:rsidRDefault="00973E5E" w:rsidP="00973E5E">
      <w:pPr>
        <w:spacing w:line="11" w:lineRule="exact"/>
        <w:rPr>
          <w:sz w:val="20"/>
          <w:szCs w:val="20"/>
        </w:rPr>
      </w:pPr>
    </w:p>
    <w:p w14:paraId="77AE0896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rūkote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rūkyti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rūkymas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veiksmingumą</w:t>
      </w:r>
      <w:proofErr w:type="spellEnd"/>
      <w:r>
        <w:rPr>
          <w:rFonts w:eastAsia="Times New Roman"/>
        </w:rPr>
        <w:t>.</w:t>
      </w:r>
    </w:p>
    <w:p w14:paraId="6A8C628B" w14:textId="77777777" w:rsidR="00973E5E" w:rsidRDefault="00973E5E" w:rsidP="00973E5E">
      <w:pPr>
        <w:spacing w:line="7" w:lineRule="exact"/>
        <w:rPr>
          <w:sz w:val="20"/>
          <w:szCs w:val="20"/>
        </w:rPr>
      </w:pPr>
    </w:p>
    <w:p w14:paraId="26AD58AC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rūkote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632F80B8" w14:textId="77777777" w:rsidR="00973E5E" w:rsidRDefault="00973E5E" w:rsidP="00973E5E">
      <w:pPr>
        <w:spacing w:line="265" w:lineRule="exact"/>
        <w:rPr>
          <w:sz w:val="20"/>
          <w:szCs w:val="20"/>
        </w:rPr>
      </w:pPr>
    </w:p>
    <w:p w14:paraId="306A0290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6DF1217B" w14:textId="77777777" w:rsidR="00973E5E" w:rsidRDefault="00973E5E" w:rsidP="00973E5E">
      <w:pPr>
        <w:spacing w:line="258" w:lineRule="exact"/>
        <w:rPr>
          <w:sz w:val="20"/>
          <w:szCs w:val="20"/>
        </w:rPr>
      </w:pPr>
    </w:p>
    <w:p w14:paraId="569E5D59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Nėštumas</w:t>
      </w:r>
      <w:proofErr w:type="spellEnd"/>
    </w:p>
    <w:p w14:paraId="14700E4E" w14:textId="77777777" w:rsidR="00973E5E" w:rsidRDefault="00973E5E" w:rsidP="00973E5E">
      <w:pPr>
        <w:spacing w:line="4" w:lineRule="exact"/>
        <w:rPr>
          <w:sz w:val="20"/>
          <w:szCs w:val="20"/>
        </w:rPr>
      </w:pPr>
    </w:p>
    <w:p w14:paraId="29E17A30" w14:textId="77777777" w:rsidR="00973E5E" w:rsidRDefault="00973E5E" w:rsidP="00973E5E">
      <w:pPr>
        <w:spacing w:line="251" w:lineRule="auto"/>
        <w:ind w:left="2" w:right="224" w:firstLine="3"/>
        <w:rPr>
          <w:sz w:val="20"/>
          <w:szCs w:val="20"/>
        </w:rPr>
      </w:pPr>
      <w:r>
        <w:rPr>
          <w:rFonts w:eastAsia="Times New Roman"/>
        </w:rPr>
        <w:t xml:space="preserve">Adempas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galimybė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metodus</w:t>
      </w:r>
      <w:proofErr w:type="spellEnd"/>
      <w:r>
        <w:rPr>
          <w:rFonts w:eastAsia="Times New Roman"/>
        </w:rPr>
        <w:t xml:space="preserve">. Be to,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kas </w:t>
      </w:r>
      <w:proofErr w:type="spellStart"/>
      <w:r>
        <w:rPr>
          <w:rFonts w:eastAsia="Times New Roman"/>
        </w:rPr>
        <w:t>mėnesį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patariama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>.</w:t>
      </w:r>
    </w:p>
    <w:p w14:paraId="4A195196" w14:textId="77777777" w:rsidR="00973E5E" w:rsidRDefault="00973E5E" w:rsidP="00973E5E">
      <w:pPr>
        <w:spacing w:line="209" w:lineRule="exact"/>
        <w:rPr>
          <w:sz w:val="20"/>
          <w:szCs w:val="20"/>
        </w:rPr>
      </w:pPr>
    </w:p>
    <w:p w14:paraId="485BD2A4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Žindymo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laikotarpis</w:t>
      </w:r>
      <w:proofErr w:type="spellEnd"/>
    </w:p>
    <w:p w14:paraId="05ACADAE" w14:textId="77777777" w:rsidR="00973E5E" w:rsidRDefault="00973E5E" w:rsidP="00973E5E">
      <w:pPr>
        <w:spacing w:line="4" w:lineRule="exact"/>
        <w:rPr>
          <w:sz w:val="20"/>
          <w:szCs w:val="20"/>
        </w:rPr>
      </w:pPr>
    </w:p>
    <w:p w14:paraId="4C8FA65B" w14:textId="77777777" w:rsidR="00973E5E" w:rsidRDefault="00973E5E" w:rsidP="00973E5E">
      <w:pPr>
        <w:spacing w:line="256" w:lineRule="auto"/>
        <w:ind w:left="2" w:right="124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Žindymo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Adempas.</w:t>
      </w:r>
    </w:p>
    <w:p w14:paraId="3DEDC91A" w14:textId="77777777" w:rsidR="00973E5E" w:rsidRDefault="00973E5E" w:rsidP="00973E5E">
      <w:pPr>
        <w:spacing w:line="209" w:lineRule="exact"/>
        <w:rPr>
          <w:sz w:val="20"/>
          <w:szCs w:val="20"/>
        </w:rPr>
      </w:pPr>
    </w:p>
    <w:p w14:paraId="6648AE54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0D54BC16" w14:textId="77777777" w:rsidR="00973E5E" w:rsidRDefault="00973E5E" w:rsidP="00973E5E">
      <w:pPr>
        <w:spacing w:line="8" w:lineRule="exact"/>
        <w:rPr>
          <w:sz w:val="20"/>
          <w:szCs w:val="20"/>
        </w:rPr>
      </w:pPr>
    </w:p>
    <w:p w14:paraId="06C05D3B" w14:textId="77777777" w:rsidR="00973E5E" w:rsidRDefault="00973E5E" w:rsidP="00973E5E">
      <w:pPr>
        <w:spacing w:line="262" w:lineRule="auto"/>
        <w:ind w:left="2" w:right="324"/>
        <w:jc w:val="both"/>
        <w:rPr>
          <w:sz w:val="20"/>
          <w:szCs w:val="20"/>
        </w:rPr>
      </w:pPr>
      <w:r>
        <w:rPr>
          <w:rFonts w:eastAsia="Times New Roman"/>
        </w:rPr>
        <w:t xml:space="preserve">Adempas </w:t>
      </w:r>
      <w:proofErr w:type="spellStart"/>
      <w:r>
        <w:rPr>
          <w:rFonts w:eastAsia="Times New Roman"/>
        </w:rPr>
        <w:t>gebėjimą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vidutiniškai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galvos </w:t>
      </w:r>
      <w:proofErr w:type="spellStart"/>
      <w:r>
        <w:rPr>
          <w:rFonts w:eastAsia="Times New Roman"/>
        </w:rPr>
        <w:t>svaigimą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).</w:t>
      </w:r>
    </w:p>
    <w:p w14:paraId="1CC54D9E" w14:textId="77777777" w:rsidR="00973E5E" w:rsidRDefault="00973E5E" w:rsidP="00973E5E">
      <w:pPr>
        <w:spacing w:line="210" w:lineRule="exact"/>
        <w:rPr>
          <w:sz w:val="20"/>
          <w:szCs w:val="20"/>
        </w:rPr>
      </w:pPr>
    </w:p>
    <w:p w14:paraId="583F6E2E" w14:textId="77777777" w:rsidR="00973E5E" w:rsidRDefault="00973E5E" w:rsidP="00973E5E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Adempas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laktozės</w:t>
      </w:r>
      <w:proofErr w:type="spellEnd"/>
    </w:p>
    <w:p w14:paraId="1472B501" w14:textId="77777777" w:rsidR="00973E5E" w:rsidRDefault="00973E5E" w:rsidP="00973E5E">
      <w:pPr>
        <w:spacing w:line="4" w:lineRule="exact"/>
        <w:rPr>
          <w:sz w:val="20"/>
          <w:szCs w:val="20"/>
        </w:rPr>
      </w:pPr>
    </w:p>
    <w:p w14:paraId="0F96961F" w14:textId="77777777" w:rsidR="00973E5E" w:rsidRDefault="00973E5E" w:rsidP="00973E5E">
      <w:pPr>
        <w:spacing w:line="272" w:lineRule="auto"/>
        <w:ind w:left="2" w:right="504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sakęs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netoleruojate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angliavandenių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>.</w:t>
      </w:r>
    </w:p>
    <w:p w14:paraId="1F09E3ED" w14:textId="77777777" w:rsidR="00973E5E" w:rsidRDefault="00973E5E" w:rsidP="00973E5E">
      <w:pPr>
        <w:spacing w:line="197" w:lineRule="exact"/>
        <w:rPr>
          <w:sz w:val="20"/>
          <w:szCs w:val="20"/>
        </w:rPr>
      </w:pPr>
    </w:p>
    <w:p w14:paraId="5979CB92" w14:textId="77777777" w:rsidR="00973E5E" w:rsidRDefault="00973E5E" w:rsidP="00973E5E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Adempas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natrio</w:t>
      </w:r>
      <w:proofErr w:type="spellEnd"/>
    </w:p>
    <w:p w14:paraId="30837D07" w14:textId="77777777" w:rsidR="00973E5E" w:rsidRDefault="00973E5E" w:rsidP="00973E5E">
      <w:pPr>
        <w:spacing w:line="3" w:lineRule="exact"/>
        <w:rPr>
          <w:sz w:val="20"/>
          <w:szCs w:val="20"/>
        </w:rPr>
      </w:pPr>
    </w:p>
    <w:p w14:paraId="3F6038FB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mmol (23 mg)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, t. y.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reikšmės</w:t>
      </w:r>
      <w:proofErr w:type="spellEnd"/>
      <w:r>
        <w:rPr>
          <w:rFonts w:eastAsia="Times New Roman"/>
        </w:rPr>
        <w:t>.</w:t>
      </w:r>
    </w:p>
    <w:p w14:paraId="6976BAF1" w14:textId="77777777" w:rsidR="00973E5E" w:rsidRDefault="00973E5E" w:rsidP="00973E5E">
      <w:pPr>
        <w:sectPr w:rsidR="00973E5E">
          <w:pgSz w:w="11900" w:h="16840"/>
          <w:pgMar w:top="1119" w:right="1440" w:bottom="184" w:left="1418" w:header="0" w:footer="0" w:gutter="0"/>
          <w:cols w:space="720" w:equalWidth="0">
            <w:col w:w="9046"/>
          </w:cols>
        </w:sectPr>
      </w:pPr>
    </w:p>
    <w:p w14:paraId="0AEE8D84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7CB7ABE2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2D4A0061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0AFD45B5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3167FAA2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7D06F66F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0F28FB82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32457561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2DB4EB32" w14:textId="77777777" w:rsidR="00973E5E" w:rsidRDefault="00973E5E" w:rsidP="00973E5E">
      <w:pPr>
        <w:spacing w:line="393" w:lineRule="exact"/>
        <w:rPr>
          <w:sz w:val="20"/>
          <w:szCs w:val="20"/>
        </w:rPr>
      </w:pPr>
    </w:p>
    <w:p w14:paraId="10AFB8A8" w14:textId="77777777" w:rsidR="00973E5E" w:rsidRDefault="00973E5E" w:rsidP="00973E5E">
      <w:pPr>
        <w:ind w:right="6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35</w:t>
      </w:r>
    </w:p>
    <w:p w14:paraId="404BB031" w14:textId="77777777" w:rsidR="00973E5E" w:rsidRDefault="00973E5E" w:rsidP="00973E5E">
      <w:pPr>
        <w:sectPr w:rsidR="00973E5E">
          <w:type w:val="continuous"/>
          <w:pgSz w:w="11900" w:h="16840"/>
          <w:pgMar w:top="1119" w:right="1440" w:bottom="184" w:left="1418" w:header="0" w:footer="0" w:gutter="0"/>
          <w:cols w:space="720" w:equalWidth="0">
            <w:col w:w="9046"/>
          </w:cols>
        </w:sectPr>
      </w:pPr>
    </w:p>
    <w:p w14:paraId="32B31341" w14:textId="77777777" w:rsidR="00973E5E" w:rsidRDefault="00973E5E" w:rsidP="00973E5E">
      <w:pPr>
        <w:numPr>
          <w:ilvl w:val="0"/>
          <w:numId w:val="9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bookmarkStart w:id="3" w:name="page36"/>
      <w:bookmarkEnd w:id="3"/>
      <w:r>
        <w:rPr>
          <w:rFonts w:eastAsia="Times New Roman"/>
          <w:b/>
          <w:bCs/>
        </w:rPr>
        <w:lastRenderedPageBreak/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Adempas</w:t>
      </w:r>
    </w:p>
    <w:p w14:paraId="1AF67B15" w14:textId="77777777" w:rsidR="00973E5E" w:rsidRDefault="00973E5E" w:rsidP="00973E5E">
      <w:pPr>
        <w:spacing w:line="259" w:lineRule="exact"/>
        <w:rPr>
          <w:sz w:val="20"/>
          <w:szCs w:val="20"/>
        </w:rPr>
      </w:pPr>
    </w:p>
    <w:p w14:paraId="7CDC9FA1" w14:textId="77777777" w:rsidR="00973E5E" w:rsidRDefault="00973E5E" w:rsidP="00973E5E">
      <w:pPr>
        <w:spacing w:line="272" w:lineRule="auto"/>
        <w:ind w:left="2" w:right="384"/>
        <w:rPr>
          <w:sz w:val="20"/>
          <w:szCs w:val="20"/>
        </w:rPr>
      </w:pP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36E4DCDF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04FA3ABF" w14:textId="77777777" w:rsidR="00973E5E" w:rsidRDefault="00973E5E" w:rsidP="00973E5E">
      <w:pPr>
        <w:spacing w:line="257" w:lineRule="auto"/>
        <w:ind w:left="2" w:right="124"/>
        <w:rPr>
          <w:sz w:val="20"/>
          <w:szCs w:val="20"/>
        </w:rPr>
      </w:pP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turintis</w:t>
      </w:r>
      <w:proofErr w:type="spellEnd"/>
      <w:r>
        <w:rPr>
          <w:rFonts w:eastAsia="Times New Roman"/>
        </w:rPr>
        <w:t xml:space="preserve"> LTEPH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PAH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patirties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Pirmąsias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periodiškai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ūdį</w:t>
      </w:r>
      <w:proofErr w:type="spellEnd"/>
      <w:r>
        <w:rPr>
          <w:rFonts w:eastAsia="Times New Roman"/>
        </w:rPr>
        <w:t xml:space="preserve">. Adempas </w:t>
      </w:r>
      <w:proofErr w:type="spellStart"/>
      <w:r>
        <w:rPr>
          <w:rFonts w:eastAsia="Times New Roman"/>
        </w:rPr>
        <w:t>tiekiamas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įvairiomis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periodiškai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matuodamas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pradžioje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užtikrins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0EAC5BCD" w14:textId="77777777" w:rsidR="00973E5E" w:rsidRDefault="00973E5E" w:rsidP="00973E5E">
      <w:pPr>
        <w:spacing w:line="204" w:lineRule="exact"/>
        <w:rPr>
          <w:sz w:val="20"/>
          <w:szCs w:val="20"/>
        </w:rPr>
      </w:pPr>
    </w:p>
    <w:p w14:paraId="054A739C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u w:val="single"/>
        </w:rPr>
        <w:t>Sutraiškytos</w:t>
      </w:r>
      <w:proofErr w:type="spellEnd"/>
      <w:r>
        <w:rPr>
          <w:rFonts w:eastAsia="Times New Roman"/>
          <w:i/>
          <w:iCs/>
          <w:u w:val="single"/>
        </w:rPr>
        <w:t xml:space="preserve"> </w:t>
      </w:r>
      <w:proofErr w:type="spellStart"/>
      <w:r>
        <w:rPr>
          <w:rFonts w:eastAsia="Times New Roman"/>
          <w:i/>
          <w:iCs/>
          <w:u w:val="single"/>
        </w:rPr>
        <w:t>tabletės</w:t>
      </w:r>
      <w:proofErr w:type="spellEnd"/>
      <w:r>
        <w:rPr>
          <w:rFonts w:eastAsia="Times New Roman"/>
          <w:i/>
          <w:iCs/>
          <w:u w:val="single"/>
        </w:rPr>
        <w:t>:</w:t>
      </w:r>
    </w:p>
    <w:p w14:paraId="1441DAA0" w14:textId="77777777" w:rsidR="00973E5E" w:rsidRDefault="00973E5E" w:rsidP="00973E5E">
      <w:pPr>
        <w:spacing w:line="4" w:lineRule="exact"/>
        <w:rPr>
          <w:sz w:val="20"/>
          <w:szCs w:val="20"/>
        </w:rPr>
      </w:pPr>
    </w:p>
    <w:p w14:paraId="3D6CF362" w14:textId="77777777" w:rsidR="00973E5E" w:rsidRDefault="00973E5E" w:rsidP="00973E5E">
      <w:pPr>
        <w:spacing w:line="256" w:lineRule="auto"/>
        <w:ind w:left="2" w:right="104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praryti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pasikalb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kitus</w:t>
      </w:r>
      <w:proofErr w:type="spellEnd"/>
      <w:r>
        <w:rPr>
          <w:rFonts w:eastAsia="Times New Roman"/>
        </w:rPr>
        <w:t xml:space="preserve"> Adempas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sutraiškyti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sumaišyti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minkštu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maistu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obuolių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tyre</w:t>
      </w:r>
      <w:proofErr w:type="spellEnd"/>
      <w:r>
        <w:rPr>
          <w:rFonts w:eastAsia="Times New Roman"/>
        </w:rPr>
        <w:t>.</w:t>
      </w:r>
    </w:p>
    <w:p w14:paraId="17C1C67A" w14:textId="77777777" w:rsidR="00973E5E" w:rsidRDefault="00973E5E" w:rsidP="00973E5E">
      <w:pPr>
        <w:spacing w:line="214" w:lineRule="exact"/>
        <w:rPr>
          <w:sz w:val="20"/>
          <w:szCs w:val="20"/>
        </w:rPr>
      </w:pPr>
    </w:p>
    <w:p w14:paraId="7FE801EB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Dozė</w:t>
      </w:r>
      <w:proofErr w:type="spellEnd"/>
    </w:p>
    <w:p w14:paraId="029E9F24" w14:textId="77777777" w:rsidR="00973E5E" w:rsidRDefault="00973E5E" w:rsidP="00973E5E">
      <w:pPr>
        <w:spacing w:line="11" w:lineRule="exact"/>
        <w:rPr>
          <w:sz w:val="20"/>
          <w:szCs w:val="20"/>
        </w:rPr>
      </w:pPr>
    </w:p>
    <w:p w14:paraId="1A4BEAD8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1 mg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 3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savaites</w:t>
      </w:r>
      <w:proofErr w:type="spellEnd"/>
      <w:r>
        <w:rPr>
          <w:rFonts w:eastAsia="Times New Roman"/>
        </w:rPr>
        <w:t>.</w:t>
      </w:r>
    </w:p>
    <w:p w14:paraId="6D7D0DE0" w14:textId="77777777" w:rsidR="00973E5E" w:rsidRDefault="00973E5E" w:rsidP="00973E5E">
      <w:pPr>
        <w:spacing w:line="7" w:lineRule="exact"/>
        <w:rPr>
          <w:sz w:val="20"/>
          <w:szCs w:val="20"/>
        </w:rPr>
      </w:pPr>
    </w:p>
    <w:p w14:paraId="718A3E10" w14:textId="77777777" w:rsidR="00973E5E" w:rsidRDefault="00973E5E" w:rsidP="00973E5E">
      <w:pPr>
        <w:spacing w:line="247" w:lineRule="auto"/>
        <w:ind w:left="2" w:right="244"/>
        <w:rPr>
          <w:sz w:val="20"/>
          <w:szCs w:val="20"/>
        </w:rPr>
      </w:pPr>
      <w:proofErr w:type="spellStart"/>
      <w:r>
        <w:rPr>
          <w:rFonts w:eastAsia="Times New Roman"/>
        </w:rPr>
        <w:t>Tabletes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3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, tarp </w:t>
      </w:r>
      <w:proofErr w:type="spellStart"/>
      <w:r>
        <w:rPr>
          <w:rFonts w:eastAsia="Times New Roman"/>
        </w:rPr>
        <w:t>vartojimų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maždaug</w:t>
      </w:r>
      <w:proofErr w:type="spellEnd"/>
      <w:r>
        <w:rPr>
          <w:rFonts w:eastAsia="Times New Roman"/>
        </w:rPr>
        <w:t xml:space="preserve"> 6-8 </w:t>
      </w:r>
      <w:proofErr w:type="spellStart"/>
      <w:r>
        <w:rPr>
          <w:rFonts w:eastAsia="Times New Roman"/>
        </w:rPr>
        <w:t>valandų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pertrauka</w:t>
      </w:r>
      <w:proofErr w:type="spellEnd"/>
      <w:r>
        <w:rPr>
          <w:rFonts w:eastAsia="Times New Roman"/>
        </w:rPr>
        <w:t xml:space="preserve">. Jas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valgio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nevalgius</w:t>
      </w:r>
      <w:proofErr w:type="spellEnd"/>
      <w:r>
        <w:rPr>
          <w:rFonts w:eastAsia="Times New Roman"/>
        </w:rPr>
        <w:t>.</w:t>
      </w:r>
    </w:p>
    <w:p w14:paraId="5F7BD709" w14:textId="77777777" w:rsidR="00973E5E" w:rsidRDefault="00973E5E" w:rsidP="00973E5E">
      <w:pPr>
        <w:spacing w:line="278" w:lineRule="auto"/>
        <w:ind w:left="2" w:right="724"/>
        <w:rPr>
          <w:sz w:val="20"/>
          <w:szCs w:val="20"/>
        </w:rPr>
      </w:pPr>
      <w:r>
        <w:rPr>
          <w:rFonts w:eastAsia="Times New Roman"/>
        </w:rPr>
        <w:t xml:space="preserve">Vis </w:t>
      </w:r>
      <w:proofErr w:type="spellStart"/>
      <w:r>
        <w:rPr>
          <w:rFonts w:eastAsia="Times New Roman"/>
        </w:rPr>
        <w:t>dėlto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linkęs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mažą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ūdį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hipotenziją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kaitalioti</w:t>
      </w:r>
      <w:proofErr w:type="spellEnd"/>
      <w:r>
        <w:rPr>
          <w:rFonts w:eastAsia="Times New Roman"/>
        </w:rPr>
        <w:t xml:space="preserve"> Adempas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valgio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nevalgius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reakciją</w:t>
      </w:r>
      <w:proofErr w:type="spellEnd"/>
      <w:r>
        <w:rPr>
          <w:rFonts w:eastAsia="Times New Roman"/>
        </w:rPr>
        <w:t xml:space="preserve"> į Adempas.</w:t>
      </w:r>
    </w:p>
    <w:p w14:paraId="2CF54B6A" w14:textId="77777777" w:rsidR="00973E5E" w:rsidRDefault="00973E5E" w:rsidP="00973E5E">
      <w:pPr>
        <w:spacing w:line="195" w:lineRule="exact"/>
        <w:rPr>
          <w:sz w:val="20"/>
          <w:szCs w:val="20"/>
        </w:rPr>
      </w:pPr>
    </w:p>
    <w:p w14:paraId="595ADE80" w14:textId="77777777" w:rsidR="00973E5E" w:rsidRDefault="00973E5E" w:rsidP="00973E5E">
      <w:pPr>
        <w:spacing w:line="257" w:lineRule="auto"/>
        <w:ind w:left="2" w:right="64"/>
        <w:rPr>
          <w:sz w:val="20"/>
          <w:szCs w:val="20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kas 2 </w:t>
      </w:r>
      <w:proofErr w:type="spellStart"/>
      <w:r>
        <w:rPr>
          <w:rFonts w:eastAsia="Times New Roman"/>
        </w:rPr>
        <w:t>savaites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didins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didžiausios</w:t>
      </w:r>
      <w:proofErr w:type="spellEnd"/>
      <w:r>
        <w:rPr>
          <w:rFonts w:eastAsia="Times New Roman"/>
        </w:rPr>
        <w:t xml:space="preserve"> – po 2,5 mg 3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didžiausios</w:t>
      </w:r>
      <w:proofErr w:type="spellEnd"/>
      <w:r>
        <w:rPr>
          <w:rFonts w:eastAsia="Times New Roman"/>
        </w:rPr>
        <w:t xml:space="preserve"> 7,5 mg </w:t>
      </w:r>
      <w:proofErr w:type="spellStart"/>
      <w:r>
        <w:rPr>
          <w:rFonts w:eastAsia="Times New Roman"/>
        </w:rPr>
        <w:t>paros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nebent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Tokiu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didžiausią</w:t>
      </w:r>
      <w:proofErr w:type="spellEnd"/>
      <w:r>
        <w:rPr>
          <w:rFonts w:eastAsia="Times New Roman"/>
        </w:rPr>
        <w:t xml:space="preserve"> Adempas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jausitės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gerai</w:t>
      </w:r>
      <w:proofErr w:type="spellEnd"/>
      <w:r>
        <w:rPr>
          <w:rFonts w:eastAsia="Times New Roman"/>
        </w:rPr>
        <w:t xml:space="preserve">. Kai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užtekti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mažesnes</w:t>
      </w:r>
      <w:proofErr w:type="spellEnd"/>
      <w:r>
        <w:rPr>
          <w:rFonts w:eastAsia="Times New Roman"/>
        </w:rPr>
        <w:t xml:space="preserve"> dozes tris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Optimalią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parinks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>.</w:t>
      </w:r>
    </w:p>
    <w:p w14:paraId="0E16A8CC" w14:textId="77777777" w:rsidR="00973E5E" w:rsidRDefault="00973E5E" w:rsidP="00973E5E">
      <w:pPr>
        <w:spacing w:line="215" w:lineRule="exact"/>
        <w:rPr>
          <w:sz w:val="20"/>
          <w:szCs w:val="20"/>
        </w:rPr>
      </w:pPr>
    </w:p>
    <w:p w14:paraId="16565ADA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Specialios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pastabos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pacientams</w:t>
      </w:r>
      <w:proofErr w:type="spellEnd"/>
      <w:r>
        <w:rPr>
          <w:rFonts w:eastAsia="Times New Roman"/>
          <w:i/>
          <w:iCs/>
        </w:rPr>
        <w:t xml:space="preserve">, </w:t>
      </w:r>
      <w:proofErr w:type="spellStart"/>
      <w:r>
        <w:rPr>
          <w:rFonts w:eastAsia="Times New Roman"/>
          <w:i/>
          <w:iCs/>
        </w:rPr>
        <w:t>kuriems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yra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inkstų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kepenų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sutrikimų</w:t>
      </w:r>
      <w:proofErr w:type="spellEnd"/>
    </w:p>
    <w:p w14:paraId="09E80E47" w14:textId="77777777" w:rsidR="00973E5E" w:rsidRDefault="00973E5E" w:rsidP="00973E5E">
      <w:pPr>
        <w:spacing w:line="11" w:lineRule="exact"/>
        <w:rPr>
          <w:sz w:val="20"/>
          <w:szCs w:val="20"/>
        </w:rPr>
      </w:pPr>
    </w:p>
    <w:p w14:paraId="26786C4C" w14:textId="77777777" w:rsidR="00973E5E" w:rsidRDefault="00973E5E" w:rsidP="00973E5E">
      <w:pPr>
        <w:spacing w:line="278" w:lineRule="auto"/>
        <w:ind w:left="2" w:right="224" w:firstLine="3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koreguoti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(Child Pugh C), Adempas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74DF636B" w14:textId="77777777" w:rsidR="00973E5E" w:rsidRDefault="00973E5E" w:rsidP="00973E5E">
      <w:pPr>
        <w:spacing w:line="185" w:lineRule="exact"/>
        <w:rPr>
          <w:sz w:val="20"/>
          <w:szCs w:val="20"/>
        </w:rPr>
      </w:pPr>
    </w:p>
    <w:p w14:paraId="38F5E879" w14:textId="77777777" w:rsidR="00973E5E" w:rsidRDefault="00973E5E" w:rsidP="00973E5E">
      <w:pPr>
        <w:ind w:left="2"/>
        <w:rPr>
          <w:sz w:val="20"/>
          <w:szCs w:val="20"/>
        </w:rPr>
      </w:pPr>
      <w:r>
        <w:rPr>
          <w:rFonts w:eastAsia="Times New Roman"/>
          <w:i/>
          <w:iCs/>
        </w:rPr>
        <w:t xml:space="preserve">65 </w:t>
      </w:r>
      <w:proofErr w:type="spellStart"/>
      <w:r>
        <w:rPr>
          <w:rFonts w:eastAsia="Times New Roman"/>
          <w:i/>
          <w:iCs/>
        </w:rPr>
        <w:t>metų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vyresni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pacientai</w:t>
      </w:r>
      <w:proofErr w:type="spellEnd"/>
    </w:p>
    <w:p w14:paraId="4CE43350" w14:textId="77777777" w:rsidR="00973E5E" w:rsidRDefault="00973E5E" w:rsidP="00973E5E">
      <w:pPr>
        <w:spacing w:line="11" w:lineRule="exact"/>
        <w:rPr>
          <w:sz w:val="20"/>
          <w:szCs w:val="20"/>
        </w:rPr>
      </w:pPr>
    </w:p>
    <w:p w14:paraId="6991573B" w14:textId="77777777" w:rsidR="00973E5E" w:rsidRDefault="00973E5E" w:rsidP="00973E5E">
      <w:pPr>
        <w:spacing w:line="278" w:lineRule="auto"/>
        <w:ind w:left="2" w:right="424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65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ypač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rūpestingai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parinks</w:t>
      </w:r>
      <w:proofErr w:type="spellEnd"/>
      <w:r>
        <w:rPr>
          <w:rFonts w:eastAsia="Times New Roman"/>
        </w:rPr>
        <w:t xml:space="preserve"> Adempas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>.</w:t>
      </w:r>
    </w:p>
    <w:p w14:paraId="07CC641B" w14:textId="77777777" w:rsidR="00973E5E" w:rsidRDefault="00973E5E" w:rsidP="00973E5E">
      <w:pPr>
        <w:spacing w:line="191" w:lineRule="exact"/>
        <w:rPr>
          <w:sz w:val="20"/>
          <w:szCs w:val="20"/>
        </w:rPr>
      </w:pPr>
    </w:p>
    <w:p w14:paraId="472901FA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Specialūs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patarimai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rūkantiems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pacientams</w:t>
      </w:r>
      <w:proofErr w:type="spellEnd"/>
    </w:p>
    <w:p w14:paraId="0B3DA712" w14:textId="77777777" w:rsidR="00973E5E" w:rsidRDefault="00973E5E" w:rsidP="00973E5E">
      <w:pPr>
        <w:spacing w:line="11" w:lineRule="exact"/>
        <w:rPr>
          <w:sz w:val="20"/>
          <w:szCs w:val="20"/>
        </w:rPr>
      </w:pPr>
    </w:p>
    <w:p w14:paraId="573F0972" w14:textId="77777777" w:rsidR="00973E5E" w:rsidRDefault="00973E5E" w:rsidP="00973E5E">
      <w:pPr>
        <w:spacing w:line="278" w:lineRule="auto"/>
        <w:ind w:left="2" w:right="364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rūkyti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koreguoti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285A4530" w14:textId="77777777" w:rsidR="00973E5E" w:rsidRDefault="00973E5E" w:rsidP="00973E5E">
      <w:pPr>
        <w:spacing w:line="186" w:lineRule="exact"/>
        <w:rPr>
          <w:sz w:val="20"/>
          <w:szCs w:val="20"/>
        </w:rPr>
      </w:pPr>
    </w:p>
    <w:p w14:paraId="2A1D160F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pavartojus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Adempas </w:t>
      </w:r>
      <w:proofErr w:type="spellStart"/>
      <w:r>
        <w:rPr>
          <w:rFonts w:eastAsia="Times New Roman"/>
          <w:b/>
          <w:bCs/>
        </w:rPr>
        <w:t>dozę</w:t>
      </w:r>
      <w:proofErr w:type="spellEnd"/>
      <w:r>
        <w:rPr>
          <w:rFonts w:eastAsia="Times New Roman"/>
          <w:b/>
          <w:bCs/>
        </w:rPr>
        <w:t>?</w:t>
      </w:r>
    </w:p>
    <w:p w14:paraId="38E40C33" w14:textId="77777777" w:rsidR="00973E5E" w:rsidRDefault="00973E5E" w:rsidP="00973E5E">
      <w:pPr>
        <w:spacing w:line="4" w:lineRule="exact"/>
        <w:rPr>
          <w:sz w:val="20"/>
          <w:szCs w:val="20"/>
        </w:rPr>
      </w:pPr>
    </w:p>
    <w:p w14:paraId="1FB4D6B2" w14:textId="77777777" w:rsidR="00973E5E" w:rsidRDefault="00973E5E" w:rsidP="00973E5E">
      <w:pPr>
        <w:spacing w:line="256" w:lineRule="auto"/>
        <w:ind w:left="2" w:right="224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pavartojote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svaigsta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galva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neatidėliotina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medicininė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pagalba</w:t>
      </w:r>
      <w:proofErr w:type="spellEnd"/>
      <w:r>
        <w:rPr>
          <w:rFonts w:eastAsia="Times New Roman"/>
        </w:rPr>
        <w:t>.</w:t>
      </w:r>
    </w:p>
    <w:p w14:paraId="779D4027" w14:textId="77777777" w:rsidR="00973E5E" w:rsidRDefault="00973E5E" w:rsidP="00973E5E">
      <w:pPr>
        <w:spacing w:line="209" w:lineRule="exact"/>
        <w:rPr>
          <w:sz w:val="20"/>
          <w:szCs w:val="20"/>
        </w:rPr>
      </w:pPr>
    </w:p>
    <w:p w14:paraId="66B32209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Pamiršus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pavartoti</w:t>
      </w:r>
      <w:proofErr w:type="spellEnd"/>
      <w:r>
        <w:rPr>
          <w:rFonts w:eastAsia="Times New Roman"/>
          <w:b/>
          <w:bCs/>
        </w:rPr>
        <w:t xml:space="preserve"> Adempas</w:t>
      </w:r>
    </w:p>
    <w:p w14:paraId="012D9581" w14:textId="77777777" w:rsidR="00973E5E" w:rsidRDefault="00973E5E" w:rsidP="00973E5E">
      <w:pPr>
        <w:spacing w:line="4" w:lineRule="exact"/>
        <w:rPr>
          <w:sz w:val="20"/>
          <w:szCs w:val="20"/>
        </w:rPr>
      </w:pPr>
    </w:p>
    <w:p w14:paraId="4CCD2E5C" w14:textId="77777777" w:rsidR="00973E5E" w:rsidRDefault="00973E5E" w:rsidP="00973E5E">
      <w:pPr>
        <w:spacing w:line="272" w:lineRule="auto"/>
        <w:ind w:left="2" w:right="204"/>
        <w:rPr>
          <w:sz w:val="20"/>
          <w:szCs w:val="20"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dvigubos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kompensuoti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praleistą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praleidote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numatytu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</w:t>
      </w:r>
      <w:proofErr w:type="spellEnd"/>
      <w:r>
        <w:rPr>
          <w:rFonts w:eastAsia="Times New Roman"/>
        </w:rPr>
        <w:t>.</w:t>
      </w:r>
    </w:p>
    <w:p w14:paraId="7678579C" w14:textId="77777777" w:rsidR="00973E5E" w:rsidRDefault="00973E5E" w:rsidP="00973E5E">
      <w:pPr>
        <w:spacing w:line="194" w:lineRule="exact"/>
        <w:rPr>
          <w:sz w:val="20"/>
          <w:szCs w:val="20"/>
        </w:rPr>
      </w:pPr>
    </w:p>
    <w:p w14:paraId="01C5FF53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Nustojus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Adempas</w:t>
      </w:r>
    </w:p>
    <w:p w14:paraId="23E0CC2D" w14:textId="77777777" w:rsidR="00973E5E" w:rsidRDefault="00973E5E" w:rsidP="00973E5E">
      <w:pPr>
        <w:spacing w:line="8" w:lineRule="exact"/>
        <w:rPr>
          <w:sz w:val="20"/>
          <w:szCs w:val="20"/>
        </w:rPr>
      </w:pPr>
    </w:p>
    <w:p w14:paraId="02059699" w14:textId="77777777" w:rsidR="00973E5E" w:rsidRDefault="00973E5E" w:rsidP="00973E5E">
      <w:pPr>
        <w:spacing w:line="262" w:lineRule="auto"/>
        <w:ind w:left="2" w:right="24"/>
        <w:rPr>
          <w:sz w:val="20"/>
          <w:szCs w:val="20"/>
        </w:rPr>
      </w:pPr>
      <w:proofErr w:type="spellStart"/>
      <w:r>
        <w:rPr>
          <w:rFonts w:eastAsia="Times New Roman"/>
        </w:rPr>
        <w:t>Nenutraukite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nepasitarę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neleidžia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progresuoti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r>
        <w:rPr>
          <w:rFonts w:eastAsia="Times New Roman"/>
        </w:rPr>
        <w:t xml:space="preserve"> 3 </w:t>
      </w:r>
      <w:proofErr w:type="spellStart"/>
      <w:r>
        <w:rPr>
          <w:rFonts w:eastAsia="Times New Roman"/>
        </w:rPr>
        <w:t>paroms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>.</w:t>
      </w:r>
    </w:p>
    <w:p w14:paraId="2B6F1133" w14:textId="77777777" w:rsidR="00973E5E" w:rsidRDefault="00973E5E" w:rsidP="00973E5E">
      <w:pPr>
        <w:spacing w:line="209" w:lineRule="exact"/>
        <w:rPr>
          <w:sz w:val="20"/>
          <w:szCs w:val="20"/>
        </w:rPr>
      </w:pPr>
    </w:p>
    <w:p w14:paraId="5EF38C0C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Keičiant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sildenafilį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tadalafilį</w:t>
      </w:r>
      <w:proofErr w:type="spellEnd"/>
      <w:r>
        <w:rPr>
          <w:rFonts w:eastAsia="Times New Roman"/>
          <w:b/>
          <w:bCs/>
        </w:rPr>
        <w:t xml:space="preserve"> Adempas</w:t>
      </w:r>
    </w:p>
    <w:p w14:paraId="405093E2" w14:textId="77777777" w:rsidR="00973E5E" w:rsidRDefault="00973E5E" w:rsidP="00973E5E">
      <w:pPr>
        <w:spacing w:line="8" w:lineRule="exact"/>
        <w:rPr>
          <w:sz w:val="20"/>
          <w:szCs w:val="20"/>
        </w:rPr>
      </w:pPr>
    </w:p>
    <w:p w14:paraId="6E4611AD" w14:textId="77777777" w:rsidR="00973E5E" w:rsidRDefault="00973E5E" w:rsidP="00973E5E">
      <w:pPr>
        <w:numPr>
          <w:ilvl w:val="0"/>
          <w:numId w:val="10"/>
        </w:numPr>
        <w:tabs>
          <w:tab w:val="left" w:pos="562"/>
        </w:tabs>
        <w:spacing w:line="272" w:lineRule="auto"/>
        <w:ind w:left="562" w:right="324" w:hanging="560"/>
        <w:rPr>
          <w:rFonts w:eastAsia="Times New Roman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nutraukiate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sildenafilio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Adempas, </w:t>
      </w:r>
      <w:proofErr w:type="spellStart"/>
      <w:r>
        <w:rPr>
          <w:rFonts w:eastAsia="Times New Roman"/>
        </w:rPr>
        <w:t>palaukite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mažiausiai</w:t>
      </w:r>
      <w:proofErr w:type="spellEnd"/>
      <w:r>
        <w:rPr>
          <w:rFonts w:eastAsia="Times New Roman"/>
        </w:rPr>
        <w:t xml:space="preserve"> 24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>.</w:t>
      </w:r>
    </w:p>
    <w:p w14:paraId="11210C1E" w14:textId="77777777" w:rsidR="00973E5E" w:rsidRDefault="00973E5E" w:rsidP="00973E5E">
      <w:pPr>
        <w:sectPr w:rsidR="00973E5E">
          <w:pgSz w:w="11900" w:h="16840"/>
          <w:pgMar w:top="1120" w:right="1440" w:bottom="184" w:left="1418" w:header="0" w:footer="0" w:gutter="0"/>
          <w:cols w:space="720" w:equalWidth="0">
            <w:col w:w="9046"/>
          </w:cols>
        </w:sectPr>
      </w:pPr>
    </w:p>
    <w:p w14:paraId="3BDA8E86" w14:textId="77777777" w:rsidR="00973E5E" w:rsidRDefault="00973E5E" w:rsidP="00973E5E">
      <w:pPr>
        <w:spacing w:line="263" w:lineRule="exact"/>
        <w:rPr>
          <w:sz w:val="20"/>
          <w:szCs w:val="20"/>
        </w:rPr>
      </w:pPr>
    </w:p>
    <w:p w14:paraId="4A9A8A4A" w14:textId="77777777" w:rsidR="00973E5E" w:rsidRDefault="00973E5E" w:rsidP="00973E5E">
      <w:pPr>
        <w:ind w:right="6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36</w:t>
      </w:r>
    </w:p>
    <w:p w14:paraId="25B80A08" w14:textId="77777777" w:rsidR="00973E5E" w:rsidRDefault="00973E5E" w:rsidP="00973E5E">
      <w:pPr>
        <w:sectPr w:rsidR="00973E5E">
          <w:type w:val="continuous"/>
          <w:pgSz w:w="11900" w:h="16840"/>
          <w:pgMar w:top="1120" w:right="1440" w:bottom="184" w:left="1418" w:header="0" w:footer="0" w:gutter="0"/>
          <w:cols w:space="720" w:equalWidth="0">
            <w:col w:w="9046"/>
          </w:cols>
        </w:sectPr>
      </w:pPr>
    </w:p>
    <w:p w14:paraId="2065A3E2" w14:textId="77777777" w:rsidR="00973E5E" w:rsidRDefault="00973E5E" w:rsidP="00973E5E">
      <w:pPr>
        <w:numPr>
          <w:ilvl w:val="0"/>
          <w:numId w:val="11"/>
        </w:numPr>
        <w:tabs>
          <w:tab w:val="left" w:pos="562"/>
        </w:tabs>
        <w:spacing w:line="241" w:lineRule="auto"/>
        <w:ind w:left="562" w:right="424" w:hanging="562"/>
        <w:rPr>
          <w:rFonts w:eastAsia="Times New Roman"/>
        </w:rPr>
      </w:pPr>
      <w:bookmarkStart w:id="4" w:name="page37"/>
      <w:bookmarkEnd w:id="4"/>
      <w:proofErr w:type="spellStart"/>
      <w:r>
        <w:rPr>
          <w:rFonts w:eastAsia="Times New Roman"/>
        </w:rPr>
        <w:lastRenderedPageBreak/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nutraukiate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tadalafilio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Adempas, </w:t>
      </w:r>
      <w:proofErr w:type="spellStart"/>
      <w:r>
        <w:rPr>
          <w:rFonts w:eastAsia="Times New Roman"/>
        </w:rPr>
        <w:t>palaukite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mažiausiai</w:t>
      </w:r>
      <w:proofErr w:type="spellEnd"/>
      <w:r>
        <w:rPr>
          <w:rFonts w:eastAsia="Times New Roman"/>
        </w:rPr>
        <w:t xml:space="preserve"> 48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>.</w:t>
      </w:r>
    </w:p>
    <w:p w14:paraId="764CD9CF" w14:textId="77777777" w:rsidR="00973E5E" w:rsidRDefault="00973E5E" w:rsidP="00973E5E">
      <w:pPr>
        <w:numPr>
          <w:ilvl w:val="0"/>
          <w:numId w:val="11"/>
        </w:numPr>
        <w:tabs>
          <w:tab w:val="left" w:pos="561"/>
        </w:tabs>
        <w:spacing w:line="256" w:lineRule="auto"/>
        <w:ind w:left="562" w:right="484" w:hanging="561"/>
        <w:rPr>
          <w:rFonts w:eastAsia="Times New Roman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keičiate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Adempas </w:t>
      </w:r>
      <w:proofErr w:type="spellStart"/>
      <w:r>
        <w:rPr>
          <w:rFonts w:eastAsia="Times New Roman"/>
        </w:rPr>
        <w:t>preparatu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vadinamą</w:t>
      </w:r>
      <w:proofErr w:type="spellEnd"/>
      <w:r>
        <w:rPr>
          <w:rFonts w:eastAsia="Times New Roman"/>
        </w:rPr>
        <w:t xml:space="preserve"> FDE5 </w:t>
      </w:r>
      <w:proofErr w:type="spellStart"/>
      <w:r>
        <w:rPr>
          <w:rFonts w:eastAsia="Times New Roman"/>
        </w:rPr>
        <w:t>inhibitorių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sildenafilį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tadalafilį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FDE5 </w:t>
      </w:r>
      <w:proofErr w:type="spellStart"/>
      <w:r>
        <w:rPr>
          <w:rFonts w:eastAsia="Times New Roman"/>
        </w:rPr>
        <w:t>inhibitorių</w:t>
      </w:r>
      <w:proofErr w:type="spellEnd"/>
      <w:r>
        <w:rPr>
          <w:rFonts w:eastAsia="Times New Roman"/>
        </w:rPr>
        <w:t xml:space="preserve">, po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išgertos</w:t>
      </w:r>
      <w:proofErr w:type="spellEnd"/>
      <w:r>
        <w:rPr>
          <w:rFonts w:eastAsia="Times New Roman"/>
        </w:rPr>
        <w:t xml:space="preserve"> Adempas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mažiausiai</w:t>
      </w:r>
      <w:proofErr w:type="spellEnd"/>
      <w:r>
        <w:rPr>
          <w:rFonts w:eastAsia="Times New Roman"/>
        </w:rPr>
        <w:t xml:space="preserve"> 24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>.</w:t>
      </w:r>
    </w:p>
    <w:p w14:paraId="7D4CC9B0" w14:textId="77777777" w:rsidR="00973E5E" w:rsidRDefault="00973E5E" w:rsidP="00973E5E">
      <w:pPr>
        <w:spacing w:line="209" w:lineRule="exact"/>
        <w:rPr>
          <w:sz w:val="20"/>
          <w:szCs w:val="20"/>
        </w:rPr>
      </w:pPr>
    </w:p>
    <w:p w14:paraId="05E26FEF" w14:textId="77777777" w:rsidR="00973E5E" w:rsidRDefault="00973E5E" w:rsidP="00973E5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5AECD533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4ABBFA44" w14:textId="77777777" w:rsidR="00973E5E" w:rsidRDefault="00973E5E" w:rsidP="00973E5E">
      <w:pPr>
        <w:spacing w:line="311" w:lineRule="exact"/>
        <w:rPr>
          <w:sz w:val="20"/>
          <w:szCs w:val="20"/>
        </w:rPr>
      </w:pPr>
    </w:p>
    <w:p w14:paraId="287CDC65" w14:textId="4B429922" w:rsidR="00973E5E" w:rsidRDefault="00973E5E" w:rsidP="00973E5E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54F993C7" w14:textId="77777777" w:rsidR="00A55746" w:rsidRDefault="00A55746" w:rsidP="00A55746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7182C875" w14:textId="77777777" w:rsidR="00A55746" w:rsidRDefault="00A55746" w:rsidP="00A55746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41513653" w14:textId="77777777" w:rsidR="00A55746" w:rsidRDefault="00A55746" w:rsidP="00A55746">
      <w:pPr>
        <w:spacing w:line="257" w:lineRule="exact"/>
        <w:rPr>
          <w:sz w:val="20"/>
          <w:szCs w:val="20"/>
        </w:rPr>
      </w:pPr>
    </w:p>
    <w:p w14:paraId="639DF7E0" w14:textId="77777777" w:rsidR="00A55746" w:rsidRDefault="00A55746" w:rsidP="00A55746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Sunkiausias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>:</w:t>
      </w:r>
    </w:p>
    <w:p w14:paraId="3E3B3187" w14:textId="77777777" w:rsidR="00A55746" w:rsidRDefault="00A55746" w:rsidP="00A55746">
      <w:pPr>
        <w:spacing w:line="20" w:lineRule="exact"/>
        <w:rPr>
          <w:sz w:val="20"/>
          <w:szCs w:val="20"/>
        </w:rPr>
      </w:pPr>
    </w:p>
    <w:p w14:paraId="7FE7EA1F" w14:textId="77777777" w:rsidR="00A55746" w:rsidRDefault="00A55746" w:rsidP="00A55746">
      <w:pPr>
        <w:spacing w:line="249" w:lineRule="auto"/>
        <w:ind w:left="562" w:right="32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kosėjimas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krauju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hemoptozė</w:t>
      </w:r>
      <w:proofErr w:type="spellEnd"/>
      <w:r>
        <w:rPr>
          <w:rFonts w:eastAsia="Times New Roman"/>
        </w:rPr>
        <w:t>) (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>)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10 </w:t>
      </w:r>
      <w:proofErr w:type="spellStart"/>
      <w:r>
        <w:rPr>
          <w:rFonts w:eastAsia="Times New Roman"/>
        </w:rPr>
        <w:t>žmonių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F0D9E8B" w14:textId="77777777" w:rsidR="00A55746" w:rsidRDefault="00A55746" w:rsidP="00A55746">
      <w:pPr>
        <w:spacing w:line="242" w:lineRule="auto"/>
        <w:ind w:left="542" w:right="42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ūminis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kraujavimas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plaučių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hemoragija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kosėjimą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krauju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atvejai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pasibaigę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mirtimi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>)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).</w:t>
      </w:r>
    </w:p>
    <w:p w14:paraId="4888414B" w14:textId="77777777" w:rsidR="00A55746" w:rsidRDefault="00A55746" w:rsidP="00A55746">
      <w:pPr>
        <w:spacing w:line="2" w:lineRule="exact"/>
        <w:rPr>
          <w:sz w:val="20"/>
          <w:szCs w:val="20"/>
        </w:rPr>
      </w:pPr>
    </w:p>
    <w:p w14:paraId="2E3DAB65" w14:textId="77777777" w:rsidR="00A55746" w:rsidRDefault="00A55746" w:rsidP="00A55746">
      <w:pPr>
        <w:spacing w:line="272" w:lineRule="auto"/>
        <w:ind w:left="42" w:right="444" w:firstLine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b/>
          <w:bCs/>
        </w:rPr>
        <w:t>nedelsdami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kreipkitės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į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skubiai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>.</w:t>
      </w:r>
    </w:p>
    <w:p w14:paraId="0EE510AB" w14:textId="77777777" w:rsidR="00A55746" w:rsidRDefault="00A55746" w:rsidP="00A55746">
      <w:pPr>
        <w:spacing w:line="193" w:lineRule="exact"/>
        <w:rPr>
          <w:sz w:val="20"/>
          <w:szCs w:val="20"/>
        </w:rPr>
      </w:pPr>
    </w:p>
    <w:p w14:paraId="04BD34D6" w14:textId="77777777" w:rsidR="00A55746" w:rsidRDefault="00A55746" w:rsidP="00A55746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Bendras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galimų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sąrašas</w:t>
      </w:r>
      <w:proofErr w:type="spellEnd"/>
    </w:p>
    <w:p w14:paraId="69A09882" w14:textId="77777777" w:rsidR="00A55746" w:rsidRDefault="00A55746" w:rsidP="00A55746">
      <w:pPr>
        <w:spacing w:line="268" w:lineRule="exact"/>
        <w:rPr>
          <w:sz w:val="20"/>
          <w:szCs w:val="20"/>
        </w:rPr>
      </w:pPr>
    </w:p>
    <w:p w14:paraId="510797DB" w14:textId="77777777" w:rsidR="00A55746" w:rsidRDefault="00A55746" w:rsidP="00A55746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Labai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dažni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2B59843A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24326C7B" w14:textId="77777777" w:rsidR="00A55746" w:rsidRDefault="00A55746" w:rsidP="00A55746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galvos </w:t>
      </w:r>
      <w:proofErr w:type="spellStart"/>
      <w:proofErr w:type="gram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  <w:proofErr w:type="gramEnd"/>
    </w:p>
    <w:p w14:paraId="3D786222" w14:textId="77777777" w:rsidR="00A55746" w:rsidRDefault="00A55746" w:rsidP="00A55746">
      <w:pPr>
        <w:spacing w:line="7" w:lineRule="exact"/>
        <w:rPr>
          <w:rFonts w:eastAsia="Times New Roman"/>
        </w:rPr>
      </w:pPr>
    </w:p>
    <w:p w14:paraId="4E5975B6" w14:textId="77777777" w:rsidR="00A55746" w:rsidRDefault="00A55746" w:rsidP="00A55746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galvos </w:t>
      </w:r>
      <w:proofErr w:type="spellStart"/>
      <w:proofErr w:type="gramStart"/>
      <w:r>
        <w:rPr>
          <w:rFonts w:eastAsia="Times New Roman"/>
        </w:rPr>
        <w:t>svaigimas</w:t>
      </w:r>
      <w:proofErr w:type="spellEnd"/>
      <w:r>
        <w:rPr>
          <w:rFonts w:eastAsia="Times New Roman"/>
        </w:rPr>
        <w:t>;</w:t>
      </w:r>
      <w:proofErr w:type="gramEnd"/>
    </w:p>
    <w:p w14:paraId="5905AC45" w14:textId="77777777" w:rsidR="00A55746" w:rsidRDefault="00A55746" w:rsidP="00A55746">
      <w:pPr>
        <w:spacing w:line="7" w:lineRule="exact"/>
        <w:rPr>
          <w:rFonts w:eastAsia="Times New Roman"/>
        </w:rPr>
      </w:pPr>
    </w:p>
    <w:p w14:paraId="49AEB526" w14:textId="77777777" w:rsidR="00A55746" w:rsidRDefault="00A55746" w:rsidP="00A55746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nevirškinimas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dispepsija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4E6843BA" w14:textId="77777777" w:rsidR="00A55746" w:rsidRDefault="00A55746" w:rsidP="00A55746">
      <w:pPr>
        <w:spacing w:line="7" w:lineRule="exact"/>
        <w:rPr>
          <w:rFonts w:eastAsia="Times New Roman"/>
        </w:rPr>
      </w:pPr>
    </w:p>
    <w:p w14:paraId="10FB1702" w14:textId="77777777" w:rsidR="00A55746" w:rsidRDefault="00A55746" w:rsidP="00A55746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galūnių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periferinė</w:t>
      </w:r>
      <w:proofErr w:type="spellEnd"/>
      <w:r>
        <w:rPr>
          <w:rFonts w:eastAsia="Times New Roman"/>
        </w:rPr>
        <w:t xml:space="preserve"> edema</w:t>
      </w:r>
      <w:proofErr w:type="gramStart"/>
      <w:r>
        <w:rPr>
          <w:rFonts w:eastAsia="Times New Roman"/>
        </w:rPr>
        <w:t>);</w:t>
      </w:r>
      <w:proofErr w:type="gramEnd"/>
    </w:p>
    <w:p w14:paraId="0BAE5270" w14:textId="77777777" w:rsidR="00A55746" w:rsidRDefault="00A55746" w:rsidP="00A55746">
      <w:pPr>
        <w:spacing w:line="7" w:lineRule="exact"/>
        <w:rPr>
          <w:rFonts w:eastAsia="Times New Roman"/>
        </w:rPr>
      </w:pPr>
    </w:p>
    <w:p w14:paraId="399D5AB2" w14:textId="77777777" w:rsidR="00A55746" w:rsidRDefault="00A55746" w:rsidP="00A55746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>;</w:t>
      </w:r>
      <w:proofErr w:type="gramEnd"/>
    </w:p>
    <w:p w14:paraId="64AD277E" w14:textId="77777777" w:rsidR="00A55746" w:rsidRDefault="00A55746" w:rsidP="00A55746">
      <w:pPr>
        <w:spacing w:line="7" w:lineRule="exact"/>
        <w:rPr>
          <w:rFonts w:eastAsia="Times New Roman"/>
        </w:rPr>
      </w:pPr>
    </w:p>
    <w:p w14:paraId="61D0FBE4" w14:textId="77777777" w:rsidR="00A55746" w:rsidRDefault="00A55746" w:rsidP="00A55746">
      <w:pPr>
        <w:numPr>
          <w:ilvl w:val="0"/>
          <w:numId w:val="13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blogumo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jausmas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>).</w:t>
      </w:r>
    </w:p>
    <w:p w14:paraId="295C41FB" w14:textId="77777777" w:rsidR="00A55746" w:rsidRDefault="00A55746" w:rsidP="00A55746">
      <w:pPr>
        <w:spacing w:line="264" w:lineRule="exact"/>
        <w:rPr>
          <w:sz w:val="20"/>
          <w:szCs w:val="20"/>
        </w:rPr>
      </w:pPr>
    </w:p>
    <w:p w14:paraId="535C0017" w14:textId="77777777" w:rsidR="00A55746" w:rsidRDefault="00A55746" w:rsidP="00A55746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Dažni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0B7C5E41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3D38ACAB" w14:textId="77777777" w:rsidR="00A55746" w:rsidRDefault="00A55746" w:rsidP="00A55746">
      <w:pPr>
        <w:numPr>
          <w:ilvl w:val="0"/>
          <w:numId w:val="14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gastritas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4244F9C8" w14:textId="77777777" w:rsidR="00A55746" w:rsidRDefault="00A55746" w:rsidP="00A55746">
      <w:pPr>
        <w:spacing w:line="7" w:lineRule="exact"/>
        <w:rPr>
          <w:rFonts w:eastAsia="Times New Roman"/>
        </w:rPr>
      </w:pPr>
    </w:p>
    <w:p w14:paraId="6B2F4971" w14:textId="77777777" w:rsidR="00A55746" w:rsidRDefault="00A55746" w:rsidP="00A55746">
      <w:pPr>
        <w:numPr>
          <w:ilvl w:val="0"/>
          <w:numId w:val="14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trakto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gastroenteritas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10216173" w14:textId="77777777" w:rsidR="00A55746" w:rsidRDefault="00A55746" w:rsidP="00A55746">
      <w:pPr>
        <w:spacing w:line="7" w:lineRule="exact"/>
        <w:rPr>
          <w:rFonts w:eastAsia="Times New Roman"/>
        </w:rPr>
      </w:pPr>
    </w:p>
    <w:p w14:paraId="6BA433BE" w14:textId="77777777" w:rsidR="00A55746" w:rsidRDefault="00A55746" w:rsidP="00A55746">
      <w:pPr>
        <w:numPr>
          <w:ilvl w:val="0"/>
          <w:numId w:val="14"/>
        </w:numPr>
        <w:tabs>
          <w:tab w:val="left" w:pos="562"/>
        </w:tabs>
        <w:spacing w:line="247" w:lineRule="auto"/>
        <w:ind w:left="562" w:right="204" w:hanging="562"/>
        <w:rPr>
          <w:rFonts w:eastAsia="Times New Roman"/>
        </w:rPr>
      </w:pPr>
      <w:proofErr w:type="spellStart"/>
      <w:r>
        <w:rPr>
          <w:rFonts w:eastAsia="Times New Roman"/>
        </w:rPr>
        <w:t>raudonųjų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mažakraujystė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pasireiškiantis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blyškumu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silpnumu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dusuliu</w:t>
      </w:r>
      <w:proofErr w:type="spellEnd"/>
      <w:r>
        <w:rPr>
          <w:rFonts w:eastAsia="Times New Roman"/>
        </w:rPr>
        <w:t>;</w:t>
      </w:r>
      <w:proofErr w:type="gramEnd"/>
    </w:p>
    <w:p w14:paraId="1561FE5B" w14:textId="77777777" w:rsidR="00A55746" w:rsidRDefault="00A55746" w:rsidP="00A55746">
      <w:pPr>
        <w:numPr>
          <w:ilvl w:val="0"/>
          <w:numId w:val="14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pastebimas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nereguliarus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palpitacija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6B67A61F" w14:textId="77777777" w:rsidR="00A55746" w:rsidRDefault="00A55746" w:rsidP="00A55746">
      <w:pPr>
        <w:spacing w:line="7" w:lineRule="exact"/>
        <w:rPr>
          <w:rFonts w:eastAsia="Times New Roman"/>
        </w:rPr>
      </w:pPr>
    </w:p>
    <w:p w14:paraId="025CF4E4" w14:textId="77777777" w:rsidR="00A55746" w:rsidRDefault="00A55746" w:rsidP="00A55746">
      <w:pPr>
        <w:numPr>
          <w:ilvl w:val="0"/>
          <w:numId w:val="14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hipotenzija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432B8B98" w14:textId="77777777" w:rsidR="00A55746" w:rsidRDefault="00A55746" w:rsidP="00A55746">
      <w:pPr>
        <w:spacing w:line="7" w:lineRule="exact"/>
        <w:rPr>
          <w:rFonts w:eastAsia="Times New Roman"/>
        </w:rPr>
      </w:pPr>
    </w:p>
    <w:p w14:paraId="78972BF8" w14:textId="77777777" w:rsidR="00A55746" w:rsidRDefault="00A55746" w:rsidP="00A55746">
      <w:pPr>
        <w:numPr>
          <w:ilvl w:val="0"/>
          <w:numId w:val="14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nosies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epistaksė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5A7ED38F" w14:textId="77777777" w:rsidR="00A55746" w:rsidRDefault="00A55746" w:rsidP="00A55746">
      <w:pPr>
        <w:spacing w:line="6" w:lineRule="exact"/>
        <w:rPr>
          <w:rFonts w:eastAsia="Times New Roman"/>
        </w:rPr>
      </w:pPr>
    </w:p>
    <w:p w14:paraId="4E870890" w14:textId="77777777" w:rsidR="00A55746" w:rsidRDefault="00A55746" w:rsidP="00A55746">
      <w:pPr>
        <w:numPr>
          <w:ilvl w:val="0"/>
          <w:numId w:val="14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pasunkėjęs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kvėpavimas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nosį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nosies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užgulimas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2D606091" w14:textId="77777777" w:rsidR="00A55746" w:rsidRDefault="00A55746" w:rsidP="00A55746">
      <w:pPr>
        <w:spacing w:line="7" w:lineRule="exact"/>
        <w:rPr>
          <w:rFonts w:eastAsia="Times New Roman"/>
        </w:rPr>
      </w:pPr>
    </w:p>
    <w:p w14:paraId="656575DD" w14:textId="77777777" w:rsidR="00A55746" w:rsidRDefault="00A55746" w:rsidP="00A55746">
      <w:pPr>
        <w:numPr>
          <w:ilvl w:val="0"/>
          <w:numId w:val="14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žarnų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trakto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00677B4D" w14:textId="77777777" w:rsidR="00A55746" w:rsidRDefault="00A55746" w:rsidP="00A55746">
      <w:pPr>
        <w:spacing w:line="7" w:lineRule="exact"/>
        <w:rPr>
          <w:rFonts w:eastAsia="Times New Roman"/>
        </w:rPr>
      </w:pPr>
    </w:p>
    <w:p w14:paraId="1CF1EE8D" w14:textId="77777777" w:rsidR="00A55746" w:rsidRDefault="00A55746" w:rsidP="00A55746">
      <w:pPr>
        <w:numPr>
          <w:ilvl w:val="0"/>
          <w:numId w:val="14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rėmuo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gastroezofaginio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refliukso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085945D5" w14:textId="77777777" w:rsidR="00A55746" w:rsidRDefault="00A55746" w:rsidP="00A55746">
      <w:pPr>
        <w:spacing w:line="7" w:lineRule="exact"/>
        <w:rPr>
          <w:rFonts w:eastAsia="Times New Roman"/>
        </w:rPr>
      </w:pPr>
    </w:p>
    <w:p w14:paraId="63D8BD7D" w14:textId="77777777" w:rsidR="00A55746" w:rsidRDefault="00A55746" w:rsidP="00A55746">
      <w:pPr>
        <w:numPr>
          <w:ilvl w:val="0"/>
          <w:numId w:val="14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pasunkėjęs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rijimas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disfagija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0CEA5EB2" w14:textId="77777777" w:rsidR="00A55746" w:rsidRDefault="00A55746" w:rsidP="00A55746">
      <w:pPr>
        <w:spacing w:line="7" w:lineRule="exact"/>
        <w:rPr>
          <w:rFonts w:eastAsia="Times New Roman"/>
        </w:rPr>
      </w:pPr>
    </w:p>
    <w:p w14:paraId="163F96ED" w14:textId="77777777" w:rsidR="00A55746" w:rsidRDefault="00A55746" w:rsidP="00A55746">
      <w:pPr>
        <w:numPr>
          <w:ilvl w:val="0"/>
          <w:numId w:val="14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vidurių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užkietėjimas</w:t>
      </w:r>
      <w:proofErr w:type="spellEnd"/>
      <w:r>
        <w:rPr>
          <w:rFonts w:eastAsia="Times New Roman"/>
        </w:rPr>
        <w:t>;</w:t>
      </w:r>
      <w:proofErr w:type="gramEnd"/>
    </w:p>
    <w:p w14:paraId="208DC7C9" w14:textId="77777777" w:rsidR="00A55746" w:rsidRDefault="00A55746" w:rsidP="00A55746">
      <w:pPr>
        <w:spacing w:line="7" w:lineRule="exact"/>
        <w:rPr>
          <w:rFonts w:eastAsia="Times New Roman"/>
        </w:rPr>
      </w:pPr>
    </w:p>
    <w:p w14:paraId="7A361AA5" w14:textId="77777777" w:rsidR="00A55746" w:rsidRDefault="00A55746" w:rsidP="00A55746">
      <w:pPr>
        <w:numPr>
          <w:ilvl w:val="0"/>
          <w:numId w:val="14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pūtimas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distencija</w:t>
      </w:r>
      <w:proofErr w:type="spellEnd"/>
      <w:r>
        <w:rPr>
          <w:rFonts w:eastAsia="Times New Roman"/>
        </w:rPr>
        <w:t>).</w:t>
      </w:r>
    </w:p>
    <w:p w14:paraId="08A927BA" w14:textId="77777777" w:rsidR="00A55746" w:rsidRDefault="00A55746" w:rsidP="00A55746">
      <w:pPr>
        <w:spacing w:line="263" w:lineRule="exact"/>
        <w:rPr>
          <w:sz w:val="20"/>
          <w:szCs w:val="20"/>
        </w:rPr>
      </w:pPr>
    </w:p>
    <w:p w14:paraId="5C65C0BE" w14:textId="77777777" w:rsidR="00A55746" w:rsidRDefault="00A55746" w:rsidP="00A55746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46A01F60" w14:textId="77777777" w:rsidR="00A55746" w:rsidRDefault="00A55746" w:rsidP="00A55746">
      <w:pPr>
        <w:spacing w:line="8" w:lineRule="exact"/>
        <w:rPr>
          <w:sz w:val="20"/>
          <w:szCs w:val="20"/>
        </w:rPr>
      </w:pPr>
    </w:p>
    <w:p w14:paraId="07E0845D" w14:textId="77777777" w:rsidR="00A55746" w:rsidRDefault="00A55746" w:rsidP="00A55746">
      <w:pPr>
        <w:spacing w:line="257" w:lineRule="auto"/>
        <w:ind w:left="2" w:right="244" w:firstLine="1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naudodamiesi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 xml:space="preserve">V </w:t>
      </w:r>
      <w:proofErr w:type="spellStart"/>
      <w:r>
        <w:rPr>
          <w:rFonts w:eastAsia="Times New Roman"/>
          <w:u w:val="single"/>
        </w:rPr>
        <w:t>priede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nacionaline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mums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saugumą</w:t>
      </w:r>
      <w:proofErr w:type="spellEnd"/>
      <w:r>
        <w:rPr>
          <w:rFonts w:eastAsia="Times New Roman"/>
        </w:rPr>
        <w:t>.</w:t>
      </w:r>
    </w:p>
    <w:p w14:paraId="1013A807" w14:textId="77777777" w:rsidR="00A55746" w:rsidRDefault="00A55746" w:rsidP="00A55746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77535CFA" w14:textId="06E9DE83" w:rsidR="00A55746" w:rsidRDefault="00A55746" w:rsidP="00A55746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Adempa</w:t>
      </w:r>
      <w:r>
        <w:rPr>
          <w:rFonts w:eastAsia="Times New Roman"/>
          <w:b/>
          <w:bCs/>
        </w:rPr>
        <w:t>s</w:t>
      </w:r>
    </w:p>
    <w:p w14:paraId="2E5203D9" w14:textId="77777777" w:rsidR="00A55746" w:rsidRPr="00A55746" w:rsidRDefault="00A55746" w:rsidP="00A55746">
      <w:pPr>
        <w:rPr>
          <w:sz w:val="20"/>
          <w:szCs w:val="20"/>
        </w:rPr>
      </w:pPr>
      <w:proofErr w:type="spellStart"/>
      <w:r w:rsidRPr="00A55746">
        <w:rPr>
          <w:rFonts w:eastAsia="Times New Roman"/>
        </w:rPr>
        <w:t>Šį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vaistą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laikykite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vaikams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nepastebimoje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ir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nepasiekiamoje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vietoje</w:t>
      </w:r>
      <w:proofErr w:type="spellEnd"/>
      <w:r w:rsidRPr="00A55746">
        <w:rPr>
          <w:rFonts w:eastAsia="Times New Roman"/>
        </w:rPr>
        <w:t>.</w:t>
      </w:r>
    </w:p>
    <w:p w14:paraId="1B6A77EC" w14:textId="77777777" w:rsidR="00A55746" w:rsidRPr="00A55746" w:rsidRDefault="00A55746" w:rsidP="00A55746">
      <w:pPr>
        <w:pStyle w:val="ListParagraph"/>
        <w:spacing w:line="268" w:lineRule="exact"/>
        <w:rPr>
          <w:sz w:val="20"/>
          <w:szCs w:val="20"/>
        </w:rPr>
      </w:pPr>
    </w:p>
    <w:p w14:paraId="5E875546" w14:textId="77777777" w:rsidR="00A55746" w:rsidRPr="00A55746" w:rsidRDefault="00A55746" w:rsidP="00A55746">
      <w:pPr>
        <w:rPr>
          <w:sz w:val="20"/>
          <w:szCs w:val="20"/>
        </w:rPr>
      </w:pPr>
      <w:proofErr w:type="spellStart"/>
      <w:r w:rsidRPr="00A55746">
        <w:rPr>
          <w:rFonts w:eastAsia="Times New Roman"/>
        </w:rPr>
        <w:t>Šiam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vaistui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specialių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laikymo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sąlygų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nereikia</w:t>
      </w:r>
      <w:proofErr w:type="spellEnd"/>
      <w:r w:rsidRPr="00A55746">
        <w:rPr>
          <w:rFonts w:eastAsia="Times New Roman"/>
        </w:rPr>
        <w:t>.</w:t>
      </w:r>
    </w:p>
    <w:p w14:paraId="08DF55A5" w14:textId="77777777" w:rsidR="00A55746" w:rsidRPr="00A55746" w:rsidRDefault="00A55746" w:rsidP="00A55746">
      <w:pPr>
        <w:pStyle w:val="ListParagraph"/>
        <w:spacing w:line="268" w:lineRule="exact"/>
        <w:rPr>
          <w:sz w:val="20"/>
          <w:szCs w:val="20"/>
        </w:rPr>
      </w:pPr>
    </w:p>
    <w:p w14:paraId="7AE54E0A" w14:textId="77777777" w:rsidR="00A55746" w:rsidRPr="00A55746" w:rsidRDefault="00A55746" w:rsidP="00A55746">
      <w:pPr>
        <w:spacing w:line="278" w:lineRule="auto"/>
        <w:ind w:right="4"/>
        <w:rPr>
          <w:sz w:val="20"/>
          <w:szCs w:val="20"/>
        </w:rPr>
      </w:pPr>
      <w:r w:rsidRPr="00A55746">
        <w:rPr>
          <w:rFonts w:eastAsia="Times New Roman"/>
        </w:rPr>
        <w:lastRenderedPageBreak/>
        <w:t xml:space="preserve">Ant </w:t>
      </w:r>
      <w:proofErr w:type="spellStart"/>
      <w:r w:rsidRPr="00A55746">
        <w:rPr>
          <w:rFonts w:eastAsia="Times New Roman"/>
        </w:rPr>
        <w:t>lizdin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ės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plokštelės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ir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dėžutės</w:t>
      </w:r>
      <w:proofErr w:type="spellEnd"/>
      <w:r w:rsidRPr="00A55746">
        <w:rPr>
          <w:rFonts w:eastAsia="Times New Roman"/>
        </w:rPr>
        <w:t xml:space="preserve"> po „</w:t>
      </w:r>
      <w:proofErr w:type="gramStart"/>
      <w:r w:rsidRPr="00A55746">
        <w:rPr>
          <w:rFonts w:eastAsia="Times New Roman"/>
        </w:rPr>
        <w:t xml:space="preserve">EXP“ </w:t>
      </w:r>
      <w:proofErr w:type="spellStart"/>
      <w:r w:rsidRPr="00A55746">
        <w:rPr>
          <w:rFonts w:eastAsia="Times New Roman"/>
        </w:rPr>
        <w:t>nurodytam</w:t>
      </w:r>
      <w:proofErr w:type="spellEnd"/>
      <w:proofErr w:type="gram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tinkamumo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laikui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pasibaigus</w:t>
      </w:r>
      <w:proofErr w:type="spellEnd"/>
      <w:r w:rsidRPr="00A55746">
        <w:rPr>
          <w:rFonts w:eastAsia="Times New Roman"/>
        </w:rPr>
        <w:t xml:space="preserve">, </w:t>
      </w:r>
      <w:proofErr w:type="spellStart"/>
      <w:r w:rsidRPr="00A55746">
        <w:rPr>
          <w:rFonts w:eastAsia="Times New Roman"/>
        </w:rPr>
        <w:t>šio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vaisto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vartoti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negalima</w:t>
      </w:r>
      <w:proofErr w:type="spellEnd"/>
      <w:r w:rsidRPr="00A55746">
        <w:rPr>
          <w:rFonts w:eastAsia="Times New Roman"/>
        </w:rPr>
        <w:t xml:space="preserve">. </w:t>
      </w:r>
      <w:proofErr w:type="spellStart"/>
      <w:r w:rsidRPr="00A55746">
        <w:rPr>
          <w:rFonts w:eastAsia="Times New Roman"/>
        </w:rPr>
        <w:t>Vaistas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tinkamas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vartoti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iki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paskutinės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nurodyto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mėnesio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dienos</w:t>
      </w:r>
      <w:proofErr w:type="spellEnd"/>
      <w:r w:rsidRPr="00A55746">
        <w:rPr>
          <w:rFonts w:eastAsia="Times New Roman"/>
        </w:rPr>
        <w:t>.</w:t>
      </w:r>
    </w:p>
    <w:p w14:paraId="49EFD130" w14:textId="77777777" w:rsidR="00A55746" w:rsidRPr="00A55746" w:rsidRDefault="00A55746" w:rsidP="00A55746">
      <w:pPr>
        <w:pStyle w:val="ListParagraph"/>
        <w:spacing w:line="195" w:lineRule="exact"/>
        <w:rPr>
          <w:sz w:val="20"/>
          <w:szCs w:val="20"/>
        </w:rPr>
      </w:pPr>
    </w:p>
    <w:p w14:paraId="10390C83" w14:textId="77777777" w:rsidR="00A55746" w:rsidRPr="00A55746" w:rsidRDefault="00A55746" w:rsidP="00A55746">
      <w:pPr>
        <w:spacing w:line="278" w:lineRule="auto"/>
        <w:ind w:right="624"/>
        <w:rPr>
          <w:sz w:val="20"/>
          <w:szCs w:val="20"/>
        </w:rPr>
      </w:pPr>
      <w:proofErr w:type="spellStart"/>
      <w:r w:rsidRPr="00A55746">
        <w:rPr>
          <w:rFonts w:eastAsia="Times New Roman"/>
        </w:rPr>
        <w:t>Vaistų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negalima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išmesti</w:t>
      </w:r>
      <w:proofErr w:type="spellEnd"/>
      <w:r w:rsidRPr="00A55746">
        <w:rPr>
          <w:rFonts w:eastAsia="Times New Roman"/>
        </w:rPr>
        <w:t xml:space="preserve"> į </w:t>
      </w:r>
      <w:proofErr w:type="spellStart"/>
      <w:r w:rsidRPr="00A55746">
        <w:rPr>
          <w:rFonts w:eastAsia="Times New Roman"/>
        </w:rPr>
        <w:t>kanalizaciją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arba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su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buitin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ėmis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atliekomis</w:t>
      </w:r>
      <w:proofErr w:type="spellEnd"/>
      <w:r w:rsidRPr="00A55746">
        <w:rPr>
          <w:rFonts w:eastAsia="Times New Roman"/>
        </w:rPr>
        <w:t xml:space="preserve">. Kaip </w:t>
      </w:r>
      <w:proofErr w:type="spellStart"/>
      <w:r w:rsidRPr="00A55746">
        <w:rPr>
          <w:rFonts w:eastAsia="Times New Roman"/>
        </w:rPr>
        <w:t>išmesti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nereikalingus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vaistus</w:t>
      </w:r>
      <w:proofErr w:type="spellEnd"/>
      <w:r w:rsidRPr="00A55746">
        <w:rPr>
          <w:rFonts w:eastAsia="Times New Roman"/>
        </w:rPr>
        <w:t xml:space="preserve">, </w:t>
      </w:r>
      <w:proofErr w:type="spellStart"/>
      <w:r w:rsidRPr="00A55746">
        <w:rPr>
          <w:rFonts w:eastAsia="Times New Roman"/>
        </w:rPr>
        <w:t>klauskite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vaistininko</w:t>
      </w:r>
      <w:proofErr w:type="spellEnd"/>
      <w:r w:rsidRPr="00A55746">
        <w:rPr>
          <w:rFonts w:eastAsia="Times New Roman"/>
        </w:rPr>
        <w:t xml:space="preserve">. </w:t>
      </w:r>
      <w:proofErr w:type="spellStart"/>
      <w:r w:rsidRPr="00A55746">
        <w:rPr>
          <w:rFonts w:eastAsia="Times New Roman"/>
        </w:rPr>
        <w:t>Šios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priemonės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padės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apsaugoti</w:t>
      </w:r>
      <w:proofErr w:type="spellEnd"/>
      <w:r w:rsidRPr="00A55746">
        <w:rPr>
          <w:rFonts w:eastAsia="Times New Roman"/>
        </w:rPr>
        <w:t xml:space="preserve"> </w:t>
      </w:r>
      <w:proofErr w:type="spellStart"/>
      <w:r w:rsidRPr="00A55746">
        <w:rPr>
          <w:rFonts w:eastAsia="Times New Roman"/>
        </w:rPr>
        <w:t>aplinką</w:t>
      </w:r>
      <w:proofErr w:type="spellEnd"/>
      <w:r w:rsidRPr="00A55746">
        <w:rPr>
          <w:rFonts w:eastAsia="Times New Roman"/>
        </w:rPr>
        <w:t>.</w:t>
      </w:r>
    </w:p>
    <w:p w14:paraId="5509F046" w14:textId="79539F78" w:rsidR="00A55746" w:rsidRDefault="00A55746" w:rsidP="00A55746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1819A9F8" w14:textId="77777777" w:rsidR="00A55746" w:rsidRDefault="00A55746" w:rsidP="00A55746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559DBAB1" w14:textId="2C2397BC" w:rsidR="00A55746" w:rsidRDefault="00A55746" w:rsidP="00A55746">
      <w:pPr>
        <w:numPr>
          <w:ilvl w:val="0"/>
          <w:numId w:val="12"/>
        </w:numPr>
        <w:tabs>
          <w:tab w:val="left" w:pos="562"/>
        </w:tabs>
        <w:ind w:left="562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3E6F76C3" w14:textId="77777777" w:rsidR="00A55746" w:rsidRDefault="00A55746" w:rsidP="00A55746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40B6AC45" w14:textId="77777777" w:rsidR="00A55746" w:rsidRDefault="00A55746" w:rsidP="00A55746">
      <w:pPr>
        <w:tabs>
          <w:tab w:val="left" w:pos="360"/>
        </w:tabs>
        <w:spacing w:line="487" w:lineRule="auto"/>
        <w:ind w:left="2" w:right="510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Adempas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3AFBAF01" w14:textId="77777777" w:rsidR="00A55746" w:rsidRDefault="00A55746" w:rsidP="00A55746">
      <w:pPr>
        <w:spacing w:line="2" w:lineRule="exact"/>
        <w:rPr>
          <w:sz w:val="20"/>
          <w:szCs w:val="20"/>
        </w:rPr>
      </w:pPr>
    </w:p>
    <w:p w14:paraId="64758E54" w14:textId="77777777" w:rsidR="00A55746" w:rsidRDefault="00A55746" w:rsidP="00A55746">
      <w:pPr>
        <w:numPr>
          <w:ilvl w:val="0"/>
          <w:numId w:val="17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Veiklioji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medžiaga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riociguatas</w:t>
      </w:r>
      <w:proofErr w:type="spellEnd"/>
      <w:r>
        <w:rPr>
          <w:rFonts w:eastAsia="Times New Roman"/>
        </w:rPr>
        <w:t>.</w:t>
      </w:r>
    </w:p>
    <w:p w14:paraId="0CE22BF9" w14:textId="77777777" w:rsidR="00A55746" w:rsidRDefault="00A55746" w:rsidP="00A55746">
      <w:pPr>
        <w:spacing w:line="6" w:lineRule="exact"/>
        <w:rPr>
          <w:sz w:val="20"/>
          <w:szCs w:val="20"/>
        </w:rPr>
      </w:pPr>
    </w:p>
    <w:p w14:paraId="5BBDA1CF" w14:textId="77777777" w:rsidR="00A55746" w:rsidRDefault="00A55746" w:rsidP="00A55746">
      <w:pPr>
        <w:ind w:left="1142"/>
        <w:rPr>
          <w:sz w:val="20"/>
          <w:szCs w:val="20"/>
        </w:rPr>
      </w:pPr>
      <w:r>
        <w:rPr>
          <w:rFonts w:eastAsia="Times New Roman"/>
          <w:i/>
          <w:iCs/>
        </w:rPr>
        <w:t xml:space="preserve">Adempas 0,5 mg </w:t>
      </w:r>
      <w:proofErr w:type="spellStart"/>
      <w:r>
        <w:rPr>
          <w:rFonts w:eastAsia="Times New Roman"/>
          <w:i/>
          <w:iCs/>
        </w:rPr>
        <w:t>plėvele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dengtos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tabletės</w:t>
      </w:r>
      <w:proofErr w:type="spellEnd"/>
    </w:p>
    <w:p w14:paraId="14F55E70" w14:textId="77777777" w:rsidR="00A55746" w:rsidRDefault="00A55746" w:rsidP="00A55746">
      <w:pPr>
        <w:ind w:left="1702"/>
        <w:rPr>
          <w:sz w:val="20"/>
          <w:szCs w:val="20"/>
        </w:rPr>
      </w:pP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0,5 mg </w:t>
      </w:r>
      <w:proofErr w:type="spellStart"/>
      <w:r>
        <w:rPr>
          <w:rFonts w:eastAsia="Times New Roman"/>
        </w:rPr>
        <w:t>riociguato</w:t>
      </w:r>
      <w:proofErr w:type="spellEnd"/>
      <w:r>
        <w:rPr>
          <w:rFonts w:eastAsia="Times New Roman"/>
        </w:rPr>
        <w:t>.</w:t>
      </w:r>
    </w:p>
    <w:p w14:paraId="2434B92B" w14:textId="77777777" w:rsidR="00A55746" w:rsidRDefault="00A55746" w:rsidP="00A55746">
      <w:pPr>
        <w:spacing w:line="2" w:lineRule="exact"/>
        <w:rPr>
          <w:sz w:val="20"/>
          <w:szCs w:val="20"/>
        </w:rPr>
      </w:pPr>
    </w:p>
    <w:p w14:paraId="15B06F3B" w14:textId="77777777" w:rsidR="00A55746" w:rsidRDefault="00A55746" w:rsidP="00A55746">
      <w:pPr>
        <w:ind w:left="1142"/>
        <w:rPr>
          <w:sz w:val="20"/>
          <w:szCs w:val="20"/>
        </w:rPr>
      </w:pPr>
      <w:r>
        <w:rPr>
          <w:rFonts w:eastAsia="Times New Roman"/>
          <w:i/>
          <w:iCs/>
        </w:rPr>
        <w:t xml:space="preserve">Adempas 1 mg </w:t>
      </w:r>
      <w:proofErr w:type="spellStart"/>
      <w:r>
        <w:rPr>
          <w:rFonts w:eastAsia="Times New Roman"/>
          <w:i/>
          <w:iCs/>
        </w:rPr>
        <w:t>plėvele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dengtos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tabletės</w:t>
      </w:r>
      <w:proofErr w:type="spellEnd"/>
    </w:p>
    <w:p w14:paraId="2CA7DE49" w14:textId="77777777" w:rsidR="00A55746" w:rsidRDefault="00A55746" w:rsidP="00A55746">
      <w:pPr>
        <w:ind w:left="1702"/>
        <w:rPr>
          <w:sz w:val="20"/>
          <w:szCs w:val="20"/>
        </w:rPr>
      </w:pP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 mg </w:t>
      </w:r>
      <w:proofErr w:type="spellStart"/>
      <w:r>
        <w:rPr>
          <w:rFonts w:eastAsia="Times New Roman"/>
        </w:rPr>
        <w:t>riociguato</w:t>
      </w:r>
      <w:proofErr w:type="spellEnd"/>
      <w:r>
        <w:rPr>
          <w:rFonts w:eastAsia="Times New Roman"/>
        </w:rPr>
        <w:t>.</w:t>
      </w:r>
    </w:p>
    <w:p w14:paraId="3F0764AC" w14:textId="77777777" w:rsidR="00A55746" w:rsidRDefault="00A55746" w:rsidP="00A55746">
      <w:pPr>
        <w:spacing w:line="2" w:lineRule="exact"/>
        <w:rPr>
          <w:sz w:val="20"/>
          <w:szCs w:val="20"/>
        </w:rPr>
      </w:pPr>
    </w:p>
    <w:p w14:paraId="19ADDF45" w14:textId="77777777" w:rsidR="00A55746" w:rsidRDefault="00A55746" w:rsidP="00A55746">
      <w:pPr>
        <w:ind w:left="1142"/>
        <w:rPr>
          <w:sz w:val="20"/>
          <w:szCs w:val="20"/>
        </w:rPr>
      </w:pPr>
      <w:r>
        <w:rPr>
          <w:rFonts w:eastAsia="Times New Roman"/>
          <w:i/>
          <w:iCs/>
        </w:rPr>
        <w:t xml:space="preserve">Adempas 1,5 mg </w:t>
      </w:r>
      <w:proofErr w:type="spellStart"/>
      <w:r>
        <w:rPr>
          <w:rFonts w:eastAsia="Times New Roman"/>
          <w:i/>
          <w:iCs/>
        </w:rPr>
        <w:t>plėvele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dengtos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tabletės</w:t>
      </w:r>
      <w:proofErr w:type="spellEnd"/>
    </w:p>
    <w:p w14:paraId="3E5B2A2A" w14:textId="77777777" w:rsidR="00A55746" w:rsidRDefault="00A55746" w:rsidP="00A55746">
      <w:pPr>
        <w:ind w:left="1702"/>
        <w:rPr>
          <w:sz w:val="20"/>
          <w:szCs w:val="20"/>
        </w:rPr>
      </w:pP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1,5 mg </w:t>
      </w:r>
      <w:proofErr w:type="spellStart"/>
      <w:r>
        <w:rPr>
          <w:rFonts w:eastAsia="Times New Roman"/>
        </w:rPr>
        <w:t>riociguato</w:t>
      </w:r>
      <w:proofErr w:type="spellEnd"/>
      <w:r>
        <w:rPr>
          <w:rFonts w:eastAsia="Times New Roman"/>
        </w:rPr>
        <w:t>.</w:t>
      </w:r>
    </w:p>
    <w:p w14:paraId="4A6D6DC4" w14:textId="77777777" w:rsidR="00A55746" w:rsidRDefault="00A55746" w:rsidP="00A55746">
      <w:pPr>
        <w:spacing w:line="2" w:lineRule="exact"/>
        <w:rPr>
          <w:sz w:val="20"/>
          <w:szCs w:val="20"/>
        </w:rPr>
      </w:pPr>
    </w:p>
    <w:p w14:paraId="6318D03E" w14:textId="77777777" w:rsidR="00A55746" w:rsidRDefault="00A55746" w:rsidP="00A55746">
      <w:pPr>
        <w:ind w:left="1142"/>
        <w:rPr>
          <w:sz w:val="20"/>
          <w:szCs w:val="20"/>
        </w:rPr>
      </w:pPr>
      <w:r>
        <w:rPr>
          <w:rFonts w:eastAsia="Times New Roman"/>
          <w:i/>
          <w:iCs/>
        </w:rPr>
        <w:t xml:space="preserve">Adempas 2 mg </w:t>
      </w:r>
      <w:proofErr w:type="spellStart"/>
      <w:r>
        <w:rPr>
          <w:rFonts w:eastAsia="Times New Roman"/>
          <w:i/>
          <w:iCs/>
        </w:rPr>
        <w:t>plėvele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dengtos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tabletės</w:t>
      </w:r>
      <w:proofErr w:type="spellEnd"/>
    </w:p>
    <w:p w14:paraId="49F9C4C5" w14:textId="77777777" w:rsidR="00A55746" w:rsidRDefault="00A55746" w:rsidP="00A55746">
      <w:pPr>
        <w:ind w:left="1702"/>
        <w:rPr>
          <w:sz w:val="20"/>
          <w:szCs w:val="20"/>
        </w:rPr>
      </w:pP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 mg </w:t>
      </w:r>
      <w:proofErr w:type="spellStart"/>
      <w:r>
        <w:rPr>
          <w:rFonts w:eastAsia="Times New Roman"/>
        </w:rPr>
        <w:t>riociguato</w:t>
      </w:r>
      <w:proofErr w:type="spellEnd"/>
      <w:r>
        <w:rPr>
          <w:rFonts w:eastAsia="Times New Roman"/>
        </w:rPr>
        <w:t>.</w:t>
      </w:r>
    </w:p>
    <w:p w14:paraId="0DFEA923" w14:textId="77777777" w:rsidR="00A55746" w:rsidRDefault="00A55746" w:rsidP="00A55746">
      <w:pPr>
        <w:spacing w:line="1" w:lineRule="exact"/>
        <w:rPr>
          <w:sz w:val="20"/>
          <w:szCs w:val="20"/>
        </w:rPr>
      </w:pPr>
    </w:p>
    <w:p w14:paraId="7DAB68F2" w14:textId="77777777" w:rsidR="00A55746" w:rsidRDefault="00A55746" w:rsidP="00A55746">
      <w:pPr>
        <w:ind w:left="1142"/>
        <w:rPr>
          <w:sz w:val="20"/>
          <w:szCs w:val="20"/>
        </w:rPr>
      </w:pPr>
      <w:r>
        <w:rPr>
          <w:rFonts w:eastAsia="Times New Roman"/>
          <w:i/>
          <w:iCs/>
        </w:rPr>
        <w:t xml:space="preserve">Adempas 2,5 mg </w:t>
      </w:r>
      <w:proofErr w:type="spellStart"/>
      <w:r>
        <w:rPr>
          <w:rFonts w:eastAsia="Times New Roman"/>
          <w:i/>
          <w:iCs/>
        </w:rPr>
        <w:t>plėvele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dengtos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tabletės</w:t>
      </w:r>
      <w:proofErr w:type="spellEnd"/>
    </w:p>
    <w:p w14:paraId="33E605D3" w14:textId="77777777" w:rsidR="00A55746" w:rsidRDefault="00A55746" w:rsidP="00A55746">
      <w:pPr>
        <w:ind w:left="1702"/>
        <w:rPr>
          <w:sz w:val="20"/>
          <w:szCs w:val="20"/>
        </w:rPr>
      </w:pP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2,5 mg </w:t>
      </w:r>
      <w:proofErr w:type="spellStart"/>
      <w:r>
        <w:rPr>
          <w:rFonts w:eastAsia="Times New Roman"/>
        </w:rPr>
        <w:t>riociguato</w:t>
      </w:r>
      <w:proofErr w:type="spellEnd"/>
      <w:r>
        <w:rPr>
          <w:rFonts w:eastAsia="Times New Roman"/>
        </w:rPr>
        <w:t>.</w:t>
      </w:r>
    </w:p>
    <w:p w14:paraId="1A7A3783" w14:textId="77777777" w:rsidR="00A55746" w:rsidRDefault="00A55746" w:rsidP="00A55746">
      <w:pPr>
        <w:spacing w:line="257" w:lineRule="exact"/>
        <w:rPr>
          <w:sz w:val="20"/>
          <w:szCs w:val="20"/>
        </w:rPr>
      </w:pPr>
    </w:p>
    <w:p w14:paraId="5DB0577B" w14:textId="77777777" w:rsidR="00A55746" w:rsidRDefault="00A55746" w:rsidP="00A55746">
      <w:pPr>
        <w:numPr>
          <w:ilvl w:val="0"/>
          <w:numId w:val="18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Pagalbinės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medžiagos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</w:p>
    <w:p w14:paraId="5119010B" w14:textId="77777777" w:rsidR="00A55746" w:rsidRDefault="00A55746" w:rsidP="00A55746">
      <w:pPr>
        <w:spacing w:line="5" w:lineRule="exact"/>
        <w:rPr>
          <w:rFonts w:eastAsia="Times New Roman"/>
        </w:rPr>
      </w:pPr>
    </w:p>
    <w:p w14:paraId="4749EA66" w14:textId="77777777" w:rsidR="00A55746" w:rsidRDefault="00A55746" w:rsidP="00A55746">
      <w:pPr>
        <w:spacing w:line="241" w:lineRule="auto"/>
        <w:ind w:left="562" w:right="24" w:hanging="1"/>
        <w:rPr>
          <w:rFonts w:eastAsia="Times New Roman"/>
        </w:rPr>
      </w:pPr>
      <w:proofErr w:type="spellStart"/>
      <w:r>
        <w:rPr>
          <w:rFonts w:eastAsia="Times New Roman"/>
          <w:i/>
          <w:iCs/>
        </w:rPr>
        <w:t>Tabletės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šerdis</w:t>
      </w:r>
      <w:proofErr w:type="spellEnd"/>
      <w:r>
        <w:rPr>
          <w:rFonts w:eastAsia="Times New Roman"/>
          <w:i/>
          <w:iCs/>
        </w:rPr>
        <w:t xml:space="preserve">: </w:t>
      </w:r>
      <w:proofErr w:type="spellStart"/>
      <w:r>
        <w:rPr>
          <w:rFonts w:eastAsia="Times New Roman"/>
        </w:rPr>
        <w:t>mikrokristalinė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</w:rPr>
        <w:t>celiuliozė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krospovidonas</w:t>
      </w:r>
      <w:proofErr w:type="spellEnd"/>
      <w:r>
        <w:rPr>
          <w:rFonts w:eastAsia="Times New Roman"/>
        </w:rPr>
        <w:t xml:space="preserve"> (B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hipromeliozė</w:t>
      </w:r>
      <w:proofErr w:type="spell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(5 </w:t>
      </w:r>
      <w:proofErr w:type="spellStart"/>
      <w:r>
        <w:rPr>
          <w:rFonts w:eastAsia="Times New Roman"/>
        </w:rPr>
        <w:t>cP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laktozė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</w:rPr>
        <w:t>monohidratas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magnio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stearatas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laurilsulfatas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laktozę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skyriaus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pabaigoje</w:t>
      </w:r>
      <w:proofErr w:type="spellEnd"/>
      <w:r>
        <w:rPr>
          <w:rFonts w:eastAsia="Times New Roman"/>
        </w:rPr>
        <w:t>).</w:t>
      </w:r>
    </w:p>
    <w:p w14:paraId="79B21801" w14:textId="77777777" w:rsidR="00A55746" w:rsidRDefault="00A55746" w:rsidP="00A55746">
      <w:pPr>
        <w:spacing w:line="1" w:lineRule="exact"/>
        <w:rPr>
          <w:rFonts w:eastAsia="Times New Roman"/>
        </w:rPr>
      </w:pPr>
    </w:p>
    <w:p w14:paraId="404FCD1C" w14:textId="77777777" w:rsidR="00A55746" w:rsidRDefault="00A55746" w:rsidP="00A55746">
      <w:pPr>
        <w:spacing w:line="241" w:lineRule="auto"/>
        <w:ind w:left="562" w:right="24"/>
        <w:rPr>
          <w:rFonts w:eastAsia="Times New Roman"/>
        </w:rPr>
      </w:pPr>
      <w:proofErr w:type="spellStart"/>
      <w:r>
        <w:rPr>
          <w:rFonts w:eastAsia="Times New Roman"/>
          <w:i/>
          <w:iCs/>
        </w:rPr>
        <w:t>Tabletės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plėvelė</w:t>
      </w:r>
      <w:proofErr w:type="spellEnd"/>
      <w:r>
        <w:rPr>
          <w:rFonts w:eastAsia="Times New Roman"/>
          <w:i/>
          <w:iCs/>
        </w:rPr>
        <w:t xml:space="preserve">: </w:t>
      </w:r>
      <w:proofErr w:type="spellStart"/>
      <w:r>
        <w:rPr>
          <w:rFonts w:eastAsia="Times New Roman"/>
        </w:rPr>
        <w:t>hidroksipropilceliuliozė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hipromeliozė</w:t>
      </w:r>
      <w:proofErr w:type="spell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3 </w:t>
      </w:r>
      <w:proofErr w:type="spellStart"/>
      <w:r>
        <w:rPr>
          <w:rFonts w:eastAsia="Times New Roman"/>
        </w:rPr>
        <w:t>cP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propilenglikolis</w:t>
      </w:r>
      <w:proofErr w:type="spellEnd"/>
      <w:r>
        <w:rPr>
          <w:rFonts w:eastAsia="Times New Roman"/>
        </w:rPr>
        <w:t xml:space="preserve"> (E 1520)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titano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</w:rPr>
        <w:t>dioksidas</w:t>
      </w:r>
      <w:proofErr w:type="spellEnd"/>
      <w:r>
        <w:rPr>
          <w:rFonts w:eastAsia="Times New Roman"/>
        </w:rPr>
        <w:t xml:space="preserve"> (E 171).</w:t>
      </w:r>
    </w:p>
    <w:p w14:paraId="507C70A1" w14:textId="77777777" w:rsidR="00A55746" w:rsidRDefault="00A55746" w:rsidP="00A55746">
      <w:pPr>
        <w:spacing w:line="256" w:lineRule="auto"/>
        <w:ind w:left="562" w:right="504"/>
        <w:rPr>
          <w:rFonts w:eastAsia="Times New Roman"/>
        </w:rPr>
      </w:pPr>
      <w:r>
        <w:rPr>
          <w:rFonts w:eastAsia="Times New Roman"/>
        </w:rPr>
        <w:t xml:space="preserve">Adempas 1 mg, 1,5 mg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oksido</w:t>
      </w:r>
      <w:proofErr w:type="spellEnd"/>
      <w:r>
        <w:rPr>
          <w:rFonts w:eastAsia="Times New Roman"/>
        </w:rPr>
        <w:t xml:space="preserve"> (E 172). Adempas 2 mg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2,5 mg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oksido</w:t>
      </w:r>
      <w:proofErr w:type="spellEnd"/>
      <w:r>
        <w:rPr>
          <w:rFonts w:eastAsia="Times New Roman"/>
        </w:rPr>
        <w:t xml:space="preserve"> (E 172)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oksido</w:t>
      </w:r>
      <w:proofErr w:type="spellEnd"/>
      <w:r>
        <w:rPr>
          <w:rFonts w:eastAsia="Times New Roman"/>
        </w:rPr>
        <w:t xml:space="preserve"> (E 172).</w:t>
      </w:r>
    </w:p>
    <w:p w14:paraId="50F9B8F0" w14:textId="77777777" w:rsidR="00A55746" w:rsidRDefault="00A55746" w:rsidP="00A55746">
      <w:pPr>
        <w:spacing w:line="209" w:lineRule="exact"/>
        <w:rPr>
          <w:sz w:val="20"/>
          <w:szCs w:val="20"/>
        </w:rPr>
      </w:pPr>
    </w:p>
    <w:p w14:paraId="1738B0F9" w14:textId="77777777" w:rsidR="00A55746" w:rsidRDefault="00A55746" w:rsidP="00A55746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Adempas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74E9F581" w14:textId="77777777" w:rsidR="00A55746" w:rsidRDefault="00A55746" w:rsidP="00A55746">
      <w:pPr>
        <w:spacing w:line="259" w:lineRule="exact"/>
        <w:rPr>
          <w:sz w:val="20"/>
          <w:szCs w:val="20"/>
        </w:rPr>
      </w:pPr>
    </w:p>
    <w:p w14:paraId="4E7C46C8" w14:textId="77777777" w:rsidR="00A55746" w:rsidRDefault="00A55746" w:rsidP="00A55746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Adempas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>:</w:t>
      </w:r>
    </w:p>
    <w:p w14:paraId="10B4364F" w14:textId="77777777" w:rsidR="00A55746" w:rsidRDefault="00A55746" w:rsidP="00A55746">
      <w:pPr>
        <w:spacing w:line="2" w:lineRule="exact"/>
        <w:rPr>
          <w:sz w:val="20"/>
          <w:szCs w:val="20"/>
        </w:rPr>
      </w:pPr>
    </w:p>
    <w:p w14:paraId="6C942B65" w14:textId="77777777" w:rsidR="00A55746" w:rsidRDefault="00A55746" w:rsidP="00A55746">
      <w:pPr>
        <w:ind w:left="2"/>
        <w:rPr>
          <w:sz w:val="20"/>
          <w:szCs w:val="20"/>
        </w:rPr>
      </w:pPr>
      <w:r>
        <w:rPr>
          <w:rFonts w:eastAsia="Times New Roman"/>
          <w:i/>
          <w:iCs/>
        </w:rPr>
        <w:t xml:space="preserve">Adempas 0,5 mg </w:t>
      </w:r>
      <w:proofErr w:type="spellStart"/>
      <w:r>
        <w:rPr>
          <w:rFonts w:eastAsia="Times New Roman"/>
          <w:i/>
          <w:iCs/>
        </w:rPr>
        <w:t>plėvele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dengtos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tabletės</w:t>
      </w:r>
      <w:proofErr w:type="spellEnd"/>
    </w:p>
    <w:p w14:paraId="0B51B276" w14:textId="77777777" w:rsidR="00A55746" w:rsidRDefault="00A55746" w:rsidP="00A55746">
      <w:pPr>
        <w:spacing w:line="15" w:lineRule="exact"/>
        <w:rPr>
          <w:sz w:val="20"/>
          <w:szCs w:val="20"/>
        </w:rPr>
      </w:pPr>
    </w:p>
    <w:p w14:paraId="58381A94" w14:textId="77777777" w:rsidR="00A55746" w:rsidRDefault="00A55746" w:rsidP="00A55746">
      <w:pPr>
        <w:spacing w:line="241" w:lineRule="auto"/>
        <w:ind w:left="562" w:right="404"/>
        <w:rPr>
          <w:sz w:val="20"/>
          <w:szCs w:val="20"/>
        </w:rPr>
      </w:pPr>
      <w:r>
        <w:rPr>
          <w:rFonts w:eastAsia="Times New Roman"/>
          <w:i/>
          <w:iCs/>
        </w:rPr>
        <w:t xml:space="preserve">0,5 mg </w:t>
      </w:r>
      <w:proofErr w:type="spellStart"/>
      <w:r>
        <w:rPr>
          <w:rFonts w:eastAsia="Times New Roman"/>
          <w:i/>
          <w:iCs/>
        </w:rPr>
        <w:t>tabletės</w:t>
      </w:r>
      <w:proofErr w:type="spellEnd"/>
      <w:r>
        <w:rPr>
          <w:rFonts w:eastAsia="Times New Roman"/>
          <w:i/>
          <w:iCs/>
        </w:rPr>
        <w:t xml:space="preserve">: </w:t>
      </w:r>
      <w:proofErr w:type="spellStart"/>
      <w:r>
        <w:rPr>
          <w:rFonts w:eastAsia="Times New Roman"/>
        </w:rPr>
        <w:t>baltos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apvalios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abipus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išgaubtos</w:t>
      </w:r>
      <w:proofErr w:type="spellEnd"/>
      <w:r>
        <w:rPr>
          <w:rFonts w:eastAsia="Times New Roman"/>
        </w:rPr>
        <w:t xml:space="preserve"> 6 mm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pažymėtos</w:t>
      </w:r>
      <w:proofErr w:type="spell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„</w:t>
      </w:r>
      <w:proofErr w:type="gramStart"/>
      <w:r>
        <w:rPr>
          <w:rFonts w:eastAsia="Times New Roman"/>
        </w:rPr>
        <w:t xml:space="preserve">Bayer“ </w:t>
      </w:r>
      <w:proofErr w:type="spellStart"/>
      <w:r>
        <w:rPr>
          <w:rFonts w:eastAsia="Times New Roman"/>
        </w:rPr>
        <w:t>kryžiumi</w:t>
      </w:r>
      <w:proofErr w:type="spellEnd"/>
      <w:proofErr w:type="gram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kitoje</w:t>
      </w:r>
      <w:proofErr w:type="spellEnd"/>
      <w:r>
        <w:rPr>
          <w:rFonts w:eastAsia="Times New Roman"/>
        </w:rPr>
        <w:t xml:space="preserve"> – „0.5“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„R“.</w:t>
      </w:r>
    </w:p>
    <w:p w14:paraId="7B608511" w14:textId="77777777" w:rsidR="00A55746" w:rsidRDefault="00A55746" w:rsidP="00A55746">
      <w:pPr>
        <w:spacing w:line="2" w:lineRule="exact"/>
        <w:rPr>
          <w:sz w:val="20"/>
          <w:szCs w:val="20"/>
        </w:rPr>
      </w:pPr>
    </w:p>
    <w:p w14:paraId="40DDCD32" w14:textId="77777777" w:rsidR="00A55746" w:rsidRDefault="00A55746" w:rsidP="00A55746">
      <w:pPr>
        <w:ind w:left="2"/>
        <w:rPr>
          <w:sz w:val="20"/>
          <w:szCs w:val="20"/>
        </w:rPr>
      </w:pPr>
      <w:r>
        <w:rPr>
          <w:rFonts w:eastAsia="Times New Roman"/>
          <w:i/>
          <w:iCs/>
        </w:rPr>
        <w:t xml:space="preserve">Adempas 1 mg </w:t>
      </w:r>
      <w:proofErr w:type="spellStart"/>
      <w:r>
        <w:rPr>
          <w:rFonts w:eastAsia="Times New Roman"/>
          <w:i/>
          <w:iCs/>
        </w:rPr>
        <w:t>plėvele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dengtos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tabletės</w:t>
      </w:r>
      <w:proofErr w:type="spellEnd"/>
    </w:p>
    <w:p w14:paraId="1815BFEC" w14:textId="77777777" w:rsidR="00A55746" w:rsidRDefault="00A55746" w:rsidP="00A55746">
      <w:pPr>
        <w:spacing w:line="15" w:lineRule="exact"/>
        <w:rPr>
          <w:sz w:val="20"/>
          <w:szCs w:val="20"/>
        </w:rPr>
      </w:pPr>
    </w:p>
    <w:p w14:paraId="15708286" w14:textId="77777777" w:rsidR="00A55746" w:rsidRDefault="00A55746" w:rsidP="00A55746">
      <w:pPr>
        <w:ind w:left="2"/>
        <w:rPr>
          <w:sz w:val="20"/>
          <w:szCs w:val="20"/>
        </w:rPr>
      </w:pPr>
      <w:r>
        <w:rPr>
          <w:rFonts w:eastAsia="Times New Roman"/>
          <w:i/>
          <w:iCs/>
        </w:rPr>
        <w:t xml:space="preserve">1 mg </w:t>
      </w:r>
      <w:proofErr w:type="spellStart"/>
      <w:r>
        <w:rPr>
          <w:rFonts w:eastAsia="Times New Roman"/>
          <w:i/>
          <w:iCs/>
        </w:rPr>
        <w:t>tabletės</w:t>
      </w:r>
      <w:proofErr w:type="spellEnd"/>
      <w:r>
        <w:rPr>
          <w:rFonts w:eastAsia="Times New Roman"/>
          <w:i/>
          <w:iCs/>
        </w:rPr>
        <w:t xml:space="preserve">: </w:t>
      </w:r>
      <w:proofErr w:type="spellStart"/>
      <w:r>
        <w:rPr>
          <w:rFonts w:eastAsia="Times New Roman"/>
        </w:rPr>
        <w:t>gelsvos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apvalios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abipus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išgaubtos</w:t>
      </w:r>
      <w:proofErr w:type="spellEnd"/>
      <w:r>
        <w:rPr>
          <w:rFonts w:eastAsia="Times New Roman"/>
        </w:rPr>
        <w:t xml:space="preserve"> 6 mm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pažymėtos</w:t>
      </w:r>
      <w:proofErr w:type="spellEnd"/>
    </w:p>
    <w:p w14:paraId="184C1497" w14:textId="77777777" w:rsidR="00A55746" w:rsidRDefault="00A55746" w:rsidP="00A55746">
      <w:pPr>
        <w:spacing w:line="3" w:lineRule="exact"/>
        <w:rPr>
          <w:sz w:val="20"/>
          <w:szCs w:val="20"/>
        </w:rPr>
      </w:pPr>
    </w:p>
    <w:p w14:paraId="39BEAA64" w14:textId="77777777" w:rsidR="00A55746" w:rsidRDefault="00A55746" w:rsidP="00A55746">
      <w:pPr>
        <w:ind w:left="562"/>
        <w:rPr>
          <w:sz w:val="20"/>
          <w:szCs w:val="20"/>
        </w:rPr>
      </w:pPr>
      <w:r>
        <w:rPr>
          <w:rFonts w:eastAsia="Times New Roman"/>
        </w:rPr>
        <w:t>„</w:t>
      </w:r>
      <w:proofErr w:type="gramStart"/>
      <w:r>
        <w:rPr>
          <w:rFonts w:eastAsia="Times New Roman"/>
        </w:rPr>
        <w:t xml:space="preserve">Bayer“ </w:t>
      </w:r>
      <w:proofErr w:type="spellStart"/>
      <w:r>
        <w:rPr>
          <w:rFonts w:eastAsia="Times New Roman"/>
        </w:rPr>
        <w:t>kryžiumi</w:t>
      </w:r>
      <w:proofErr w:type="spellEnd"/>
      <w:proofErr w:type="gram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kitoje</w:t>
      </w:r>
      <w:proofErr w:type="spellEnd"/>
      <w:r>
        <w:rPr>
          <w:rFonts w:eastAsia="Times New Roman"/>
        </w:rPr>
        <w:t xml:space="preserve"> – „1“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„R“.</w:t>
      </w:r>
    </w:p>
    <w:p w14:paraId="629B8762" w14:textId="77777777" w:rsidR="00A55746" w:rsidRDefault="00A55746" w:rsidP="00A55746">
      <w:pPr>
        <w:spacing w:line="1" w:lineRule="exact"/>
        <w:rPr>
          <w:sz w:val="20"/>
          <w:szCs w:val="20"/>
        </w:rPr>
      </w:pPr>
    </w:p>
    <w:p w14:paraId="03A59844" w14:textId="77777777" w:rsidR="00A55746" w:rsidRDefault="00A55746" w:rsidP="00A55746">
      <w:pPr>
        <w:ind w:left="2"/>
        <w:rPr>
          <w:sz w:val="20"/>
          <w:szCs w:val="20"/>
        </w:rPr>
      </w:pPr>
      <w:r>
        <w:rPr>
          <w:rFonts w:eastAsia="Times New Roman"/>
          <w:i/>
          <w:iCs/>
        </w:rPr>
        <w:t xml:space="preserve">Adempas 1,5 mg </w:t>
      </w:r>
      <w:proofErr w:type="spellStart"/>
      <w:r>
        <w:rPr>
          <w:rFonts w:eastAsia="Times New Roman"/>
          <w:i/>
          <w:iCs/>
        </w:rPr>
        <w:t>plėvele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dengtos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tabletės</w:t>
      </w:r>
      <w:proofErr w:type="spellEnd"/>
    </w:p>
    <w:p w14:paraId="02CF1E22" w14:textId="77777777" w:rsidR="00A55746" w:rsidRDefault="00A55746" w:rsidP="00A55746">
      <w:pPr>
        <w:spacing w:line="14" w:lineRule="exact"/>
        <w:rPr>
          <w:sz w:val="20"/>
          <w:szCs w:val="20"/>
        </w:rPr>
      </w:pPr>
    </w:p>
    <w:p w14:paraId="5EC39F05" w14:textId="77777777" w:rsidR="00A55746" w:rsidRDefault="00A55746" w:rsidP="00A55746">
      <w:pPr>
        <w:spacing w:line="241" w:lineRule="auto"/>
        <w:ind w:left="562" w:right="324" w:firstLine="3"/>
        <w:rPr>
          <w:sz w:val="20"/>
          <w:szCs w:val="20"/>
        </w:rPr>
      </w:pPr>
      <w:r>
        <w:rPr>
          <w:rFonts w:eastAsia="Times New Roman"/>
          <w:i/>
          <w:iCs/>
        </w:rPr>
        <w:t xml:space="preserve">1,5 mg </w:t>
      </w:r>
      <w:proofErr w:type="spellStart"/>
      <w:r>
        <w:rPr>
          <w:rFonts w:eastAsia="Times New Roman"/>
          <w:i/>
          <w:iCs/>
        </w:rPr>
        <w:t>tabletės</w:t>
      </w:r>
      <w:proofErr w:type="spellEnd"/>
      <w:r>
        <w:rPr>
          <w:rFonts w:eastAsia="Times New Roman"/>
          <w:i/>
          <w:iCs/>
        </w:rPr>
        <w:t xml:space="preserve">: </w:t>
      </w:r>
      <w:proofErr w:type="spellStart"/>
      <w:r>
        <w:rPr>
          <w:rFonts w:eastAsia="Times New Roman"/>
        </w:rPr>
        <w:t>geltonai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oranžinės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apvalios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abipus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išgaubtos</w:t>
      </w:r>
      <w:proofErr w:type="spellEnd"/>
      <w:r>
        <w:rPr>
          <w:rFonts w:eastAsia="Times New Roman"/>
        </w:rPr>
        <w:t xml:space="preserve"> 6 mm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pusėje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</w:rPr>
        <w:t>pažymėtos</w:t>
      </w:r>
      <w:proofErr w:type="spellEnd"/>
      <w:r>
        <w:rPr>
          <w:rFonts w:eastAsia="Times New Roman"/>
        </w:rPr>
        <w:t xml:space="preserve"> „</w:t>
      </w:r>
      <w:proofErr w:type="gramStart"/>
      <w:r>
        <w:rPr>
          <w:rFonts w:eastAsia="Times New Roman"/>
        </w:rPr>
        <w:t xml:space="preserve">Bayer“ </w:t>
      </w:r>
      <w:proofErr w:type="spellStart"/>
      <w:r>
        <w:rPr>
          <w:rFonts w:eastAsia="Times New Roman"/>
        </w:rPr>
        <w:t>kryžiumi</w:t>
      </w:r>
      <w:proofErr w:type="spellEnd"/>
      <w:proofErr w:type="gram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kitoje</w:t>
      </w:r>
      <w:proofErr w:type="spellEnd"/>
      <w:r>
        <w:rPr>
          <w:rFonts w:eastAsia="Times New Roman"/>
        </w:rPr>
        <w:t xml:space="preserve"> – „1.5“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„R“.</w:t>
      </w:r>
    </w:p>
    <w:p w14:paraId="11B86427" w14:textId="77777777" w:rsidR="00A55746" w:rsidRDefault="00A55746" w:rsidP="00A55746">
      <w:pPr>
        <w:spacing w:line="1" w:lineRule="exact"/>
        <w:rPr>
          <w:sz w:val="20"/>
          <w:szCs w:val="20"/>
        </w:rPr>
      </w:pPr>
    </w:p>
    <w:p w14:paraId="69E6F4C5" w14:textId="77777777" w:rsidR="00A55746" w:rsidRDefault="00A55746" w:rsidP="00A55746">
      <w:pPr>
        <w:ind w:left="2"/>
        <w:rPr>
          <w:sz w:val="20"/>
          <w:szCs w:val="20"/>
        </w:rPr>
      </w:pPr>
      <w:r>
        <w:rPr>
          <w:rFonts w:eastAsia="Times New Roman"/>
          <w:i/>
          <w:iCs/>
        </w:rPr>
        <w:t xml:space="preserve">Adempas 2 mg </w:t>
      </w:r>
      <w:proofErr w:type="spellStart"/>
      <w:r>
        <w:rPr>
          <w:rFonts w:eastAsia="Times New Roman"/>
          <w:i/>
          <w:iCs/>
        </w:rPr>
        <w:t>plėvele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dengtos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tabletės</w:t>
      </w:r>
      <w:proofErr w:type="spellEnd"/>
    </w:p>
    <w:p w14:paraId="5C492A24" w14:textId="77777777" w:rsidR="00A55746" w:rsidRDefault="00A55746" w:rsidP="00A55746">
      <w:pPr>
        <w:spacing w:line="15" w:lineRule="exact"/>
        <w:rPr>
          <w:sz w:val="20"/>
          <w:szCs w:val="20"/>
        </w:rPr>
      </w:pPr>
    </w:p>
    <w:p w14:paraId="7DE29B97" w14:textId="77777777" w:rsidR="00A55746" w:rsidRDefault="00A55746" w:rsidP="00A55746">
      <w:pPr>
        <w:spacing w:line="273" w:lineRule="auto"/>
        <w:ind w:left="562" w:right="544"/>
        <w:rPr>
          <w:sz w:val="20"/>
          <w:szCs w:val="20"/>
        </w:rPr>
      </w:pPr>
      <w:r>
        <w:rPr>
          <w:rFonts w:eastAsia="Times New Roman"/>
          <w:i/>
          <w:iCs/>
        </w:rPr>
        <w:t xml:space="preserve">2 mg </w:t>
      </w:r>
      <w:proofErr w:type="spellStart"/>
      <w:r>
        <w:rPr>
          <w:rFonts w:eastAsia="Times New Roman"/>
          <w:i/>
          <w:iCs/>
        </w:rPr>
        <w:t>tabletės</w:t>
      </w:r>
      <w:proofErr w:type="spellEnd"/>
      <w:r>
        <w:rPr>
          <w:rFonts w:eastAsia="Times New Roman"/>
          <w:i/>
          <w:iCs/>
        </w:rPr>
        <w:t xml:space="preserve">: </w:t>
      </w:r>
      <w:proofErr w:type="spellStart"/>
      <w:r>
        <w:rPr>
          <w:rFonts w:eastAsia="Times New Roman"/>
        </w:rPr>
        <w:t>šviesiai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oranžinės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apvalios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abipus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išgaubtos</w:t>
      </w:r>
      <w:proofErr w:type="spellEnd"/>
      <w:r>
        <w:rPr>
          <w:rFonts w:eastAsia="Times New Roman"/>
        </w:rPr>
        <w:t xml:space="preserve"> 6 mm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pusėje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</w:rPr>
        <w:t>pažymėtos</w:t>
      </w:r>
      <w:proofErr w:type="spellEnd"/>
      <w:r>
        <w:rPr>
          <w:rFonts w:eastAsia="Times New Roman"/>
        </w:rPr>
        <w:t xml:space="preserve"> „</w:t>
      </w:r>
      <w:proofErr w:type="gramStart"/>
      <w:r>
        <w:rPr>
          <w:rFonts w:eastAsia="Times New Roman"/>
        </w:rPr>
        <w:t xml:space="preserve">Bayer“ </w:t>
      </w:r>
      <w:proofErr w:type="spellStart"/>
      <w:r>
        <w:rPr>
          <w:rFonts w:eastAsia="Times New Roman"/>
        </w:rPr>
        <w:t>kryžiumi</w:t>
      </w:r>
      <w:proofErr w:type="spellEnd"/>
      <w:proofErr w:type="gram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kitoje</w:t>
      </w:r>
      <w:proofErr w:type="spellEnd"/>
      <w:r>
        <w:rPr>
          <w:rFonts w:eastAsia="Times New Roman"/>
        </w:rPr>
        <w:t xml:space="preserve"> – „2“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„R“.</w:t>
      </w:r>
    </w:p>
    <w:p w14:paraId="7977DB00" w14:textId="77777777" w:rsidR="00A55746" w:rsidRDefault="00A55746" w:rsidP="00A55746">
      <w:pPr>
        <w:sectPr w:rsidR="00A55746">
          <w:pgSz w:w="11900" w:h="16840"/>
          <w:pgMar w:top="1120" w:right="1440" w:bottom="184" w:left="1418" w:header="0" w:footer="0" w:gutter="0"/>
          <w:cols w:space="720" w:equalWidth="0">
            <w:col w:w="9046"/>
          </w:cols>
        </w:sectPr>
      </w:pPr>
    </w:p>
    <w:p w14:paraId="0619859E" w14:textId="77777777" w:rsidR="00A55746" w:rsidRDefault="00A55746" w:rsidP="00A55746">
      <w:pPr>
        <w:spacing w:line="200" w:lineRule="exact"/>
        <w:rPr>
          <w:sz w:val="20"/>
          <w:szCs w:val="20"/>
        </w:rPr>
      </w:pPr>
    </w:p>
    <w:p w14:paraId="1C27A032" w14:textId="77777777" w:rsidR="00A55746" w:rsidRDefault="00A55746" w:rsidP="00A55746">
      <w:pPr>
        <w:spacing w:line="200" w:lineRule="exact"/>
        <w:rPr>
          <w:sz w:val="20"/>
          <w:szCs w:val="20"/>
        </w:rPr>
      </w:pPr>
    </w:p>
    <w:p w14:paraId="37394E92" w14:textId="77777777" w:rsidR="00A55746" w:rsidRDefault="00A55746" w:rsidP="00A55746">
      <w:pPr>
        <w:spacing w:line="200" w:lineRule="exact"/>
        <w:rPr>
          <w:sz w:val="20"/>
          <w:szCs w:val="20"/>
        </w:rPr>
      </w:pPr>
    </w:p>
    <w:p w14:paraId="2C87F78E" w14:textId="77777777" w:rsidR="00A55746" w:rsidRDefault="00A55746" w:rsidP="00A55746">
      <w:pPr>
        <w:spacing w:line="245" w:lineRule="exact"/>
        <w:rPr>
          <w:sz w:val="20"/>
          <w:szCs w:val="20"/>
        </w:rPr>
      </w:pPr>
    </w:p>
    <w:p w14:paraId="7730C51F" w14:textId="77777777" w:rsidR="00A55746" w:rsidRDefault="00A55746" w:rsidP="00A55746">
      <w:pPr>
        <w:ind w:right="6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38</w:t>
      </w:r>
    </w:p>
    <w:p w14:paraId="25071B7E" w14:textId="77777777" w:rsidR="00A55746" w:rsidRDefault="00A55746" w:rsidP="00A55746">
      <w:pPr>
        <w:sectPr w:rsidR="00A55746">
          <w:type w:val="continuous"/>
          <w:pgSz w:w="11900" w:h="16840"/>
          <w:pgMar w:top="1120" w:right="1440" w:bottom="184" w:left="1418" w:header="0" w:footer="0" w:gutter="0"/>
          <w:cols w:space="720" w:equalWidth="0">
            <w:col w:w="9046"/>
          </w:cols>
        </w:sectPr>
      </w:pPr>
    </w:p>
    <w:p w14:paraId="1CB67389" w14:textId="77777777" w:rsidR="00A55746" w:rsidRDefault="00A55746" w:rsidP="00A55746">
      <w:pPr>
        <w:ind w:left="40"/>
        <w:rPr>
          <w:sz w:val="20"/>
          <w:szCs w:val="20"/>
        </w:rPr>
      </w:pPr>
      <w:bookmarkStart w:id="5" w:name="page39"/>
      <w:bookmarkEnd w:id="5"/>
      <w:r>
        <w:rPr>
          <w:rFonts w:eastAsia="Times New Roman"/>
          <w:i/>
          <w:iCs/>
        </w:rPr>
        <w:lastRenderedPageBreak/>
        <w:t xml:space="preserve">Adempas 2,5 mg </w:t>
      </w:r>
      <w:proofErr w:type="spellStart"/>
      <w:r>
        <w:rPr>
          <w:rFonts w:eastAsia="Times New Roman"/>
          <w:i/>
          <w:iCs/>
        </w:rPr>
        <w:t>plėvele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dengtos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tabletės</w:t>
      </w:r>
      <w:proofErr w:type="spellEnd"/>
    </w:p>
    <w:p w14:paraId="1E7B228B" w14:textId="77777777" w:rsidR="00A55746" w:rsidRDefault="00A55746" w:rsidP="00A55746">
      <w:pPr>
        <w:spacing w:line="19" w:lineRule="exact"/>
        <w:rPr>
          <w:sz w:val="20"/>
          <w:szCs w:val="20"/>
        </w:rPr>
      </w:pPr>
    </w:p>
    <w:p w14:paraId="74E8E4D1" w14:textId="77777777" w:rsidR="00A55746" w:rsidRDefault="00A55746" w:rsidP="00A55746">
      <w:pPr>
        <w:spacing w:line="273" w:lineRule="auto"/>
        <w:ind w:left="600" w:right="264"/>
        <w:rPr>
          <w:sz w:val="20"/>
          <w:szCs w:val="20"/>
        </w:rPr>
      </w:pPr>
      <w:r>
        <w:rPr>
          <w:rFonts w:eastAsia="Times New Roman"/>
          <w:i/>
          <w:iCs/>
        </w:rPr>
        <w:t xml:space="preserve">2,5 mg </w:t>
      </w:r>
      <w:proofErr w:type="spellStart"/>
      <w:r>
        <w:rPr>
          <w:rFonts w:eastAsia="Times New Roman"/>
          <w:i/>
          <w:iCs/>
        </w:rPr>
        <w:t>tabletės</w:t>
      </w:r>
      <w:proofErr w:type="spellEnd"/>
      <w:r>
        <w:rPr>
          <w:rFonts w:eastAsia="Times New Roman"/>
          <w:i/>
          <w:iCs/>
        </w:rPr>
        <w:t xml:space="preserve">: </w:t>
      </w:r>
      <w:proofErr w:type="spellStart"/>
      <w:r>
        <w:rPr>
          <w:rFonts w:eastAsia="Times New Roman"/>
        </w:rPr>
        <w:t>raudonai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oranžinės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apvalios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abipus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išgaubtos</w:t>
      </w:r>
      <w:proofErr w:type="spellEnd"/>
      <w:r>
        <w:rPr>
          <w:rFonts w:eastAsia="Times New Roman"/>
        </w:rPr>
        <w:t xml:space="preserve"> 6 mm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pusėje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</w:rPr>
        <w:t>pažymėtos</w:t>
      </w:r>
      <w:proofErr w:type="spellEnd"/>
      <w:r>
        <w:rPr>
          <w:rFonts w:eastAsia="Times New Roman"/>
        </w:rPr>
        <w:t xml:space="preserve"> „</w:t>
      </w:r>
      <w:proofErr w:type="gramStart"/>
      <w:r>
        <w:rPr>
          <w:rFonts w:eastAsia="Times New Roman"/>
        </w:rPr>
        <w:t xml:space="preserve">Bayer“ </w:t>
      </w:r>
      <w:proofErr w:type="spellStart"/>
      <w:r>
        <w:rPr>
          <w:rFonts w:eastAsia="Times New Roman"/>
        </w:rPr>
        <w:t>kryžiumi</w:t>
      </w:r>
      <w:proofErr w:type="spellEnd"/>
      <w:proofErr w:type="gram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kitoje</w:t>
      </w:r>
      <w:proofErr w:type="spellEnd"/>
      <w:r>
        <w:rPr>
          <w:rFonts w:eastAsia="Times New Roman"/>
        </w:rPr>
        <w:t xml:space="preserve"> – „2.5“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„R“.</w:t>
      </w:r>
    </w:p>
    <w:p w14:paraId="259F1A37" w14:textId="77777777" w:rsidR="00A55746" w:rsidRDefault="00A55746" w:rsidP="00A55746">
      <w:pPr>
        <w:spacing w:line="192" w:lineRule="exact"/>
        <w:rPr>
          <w:sz w:val="20"/>
          <w:szCs w:val="20"/>
        </w:rPr>
      </w:pPr>
    </w:p>
    <w:p w14:paraId="63BD8639" w14:textId="77777777" w:rsidR="00A55746" w:rsidRDefault="00A55746" w:rsidP="00A55746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</w:p>
    <w:p w14:paraId="78D3152A" w14:textId="77777777" w:rsidR="00A55746" w:rsidRDefault="00A55746" w:rsidP="00A55746">
      <w:pPr>
        <w:spacing w:line="16" w:lineRule="exact"/>
        <w:rPr>
          <w:sz w:val="20"/>
          <w:szCs w:val="20"/>
        </w:rPr>
      </w:pPr>
    </w:p>
    <w:p w14:paraId="54DFF201" w14:textId="77777777" w:rsidR="00A55746" w:rsidRDefault="00A55746" w:rsidP="00A55746">
      <w:pPr>
        <w:ind w:left="40"/>
        <w:rPr>
          <w:sz w:val="20"/>
          <w:szCs w:val="20"/>
        </w:rPr>
      </w:pPr>
      <w:r>
        <w:rPr>
          <w:rFonts w:eastAsia="Times New Roman"/>
        </w:rPr>
        <w:t xml:space="preserve">42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: dvi </w:t>
      </w:r>
      <w:proofErr w:type="spellStart"/>
      <w:r>
        <w:rPr>
          <w:rFonts w:eastAsia="Times New Roman"/>
        </w:rPr>
        <w:t>skaidrios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kalendorinės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plokštelės</w:t>
      </w:r>
      <w:proofErr w:type="spellEnd"/>
      <w:r>
        <w:rPr>
          <w:rFonts w:eastAsia="Times New Roman"/>
        </w:rPr>
        <w:t xml:space="preserve"> po 21 </w:t>
      </w:r>
      <w:proofErr w:type="spellStart"/>
      <w:proofErr w:type="gram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>;</w:t>
      </w:r>
      <w:proofErr w:type="gramEnd"/>
    </w:p>
    <w:p w14:paraId="2E53F30C" w14:textId="77777777" w:rsidR="00A55746" w:rsidRDefault="00A55746" w:rsidP="00A55746">
      <w:pPr>
        <w:spacing w:line="18" w:lineRule="exact"/>
        <w:rPr>
          <w:sz w:val="20"/>
          <w:szCs w:val="20"/>
        </w:rPr>
      </w:pPr>
    </w:p>
    <w:p w14:paraId="659FCF4D" w14:textId="77777777" w:rsidR="00A55746" w:rsidRDefault="00A55746" w:rsidP="00A55746">
      <w:pPr>
        <w:ind w:left="40"/>
        <w:rPr>
          <w:sz w:val="20"/>
          <w:szCs w:val="20"/>
        </w:rPr>
      </w:pPr>
      <w:r>
        <w:rPr>
          <w:rFonts w:eastAsia="Times New Roman"/>
        </w:rPr>
        <w:t xml:space="preserve">84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keturios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kalendorinės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plokštelės</w:t>
      </w:r>
      <w:proofErr w:type="spellEnd"/>
      <w:r>
        <w:rPr>
          <w:rFonts w:eastAsia="Times New Roman"/>
        </w:rPr>
        <w:t xml:space="preserve"> po 21 </w:t>
      </w:r>
      <w:proofErr w:type="spellStart"/>
      <w:proofErr w:type="gram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>;</w:t>
      </w:r>
      <w:proofErr w:type="gramEnd"/>
    </w:p>
    <w:p w14:paraId="3EE0A2CD" w14:textId="77777777" w:rsidR="00A55746" w:rsidRDefault="00A55746" w:rsidP="00A55746">
      <w:pPr>
        <w:spacing w:line="16" w:lineRule="exact"/>
        <w:rPr>
          <w:sz w:val="20"/>
          <w:szCs w:val="20"/>
        </w:rPr>
      </w:pPr>
    </w:p>
    <w:p w14:paraId="4AD2668B" w14:textId="77777777" w:rsidR="00A55746" w:rsidRDefault="00A55746" w:rsidP="00A55746">
      <w:pPr>
        <w:ind w:left="40"/>
        <w:rPr>
          <w:sz w:val="20"/>
          <w:szCs w:val="20"/>
        </w:rPr>
      </w:pPr>
      <w:r>
        <w:rPr>
          <w:rFonts w:eastAsia="Times New Roman"/>
        </w:rPr>
        <w:t xml:space="preserve">90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penkios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plokštelės</w:t>
      </w:r>
      <w:proofErr w:type="spellEnd"/>
      <w:r>
        <w:rPr>
          <w:rFonts w:eastAsia="Times New Roman"/>
        </w:rPr>
        <w:t xml:space="preserve"> po 18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>.</w:t>
      </w:r>
    </w:p>
    <w:p w14:paraId="04B4B4B2" w14:textId="77777777" w:rsidR="00A55746" w:rsidRDefault="00A55746" w:rsidP="00A55746">
      <w:pPr>
        <w:spacing w:line="16" w:lineRule="exact"/>
        <w:rPr>
          <w:sz w:val="20"/>
          <w:szCs w:val="20"/>
        </w:rPr>
      </w:pPr>
    </w:p>
    <w:p w14:paraId="2384CE1B" w14:textId="77777777" w:rsidR="00A55746" w:rsidRDefault="00A55746" w:rsidP="00A55746">
      <w:pPr>
        <w:spacing w:line="272" w:lineRule="auto"/>
        <w:ind w:left="40" w:right="1504" w:firstLine="567"/>
        <w:rPr>
          <w:sz w:val="20"/>
          <w:szCs w:val="20"/>
        </w:rPr>
      </w:pPr>
      <w:r>
        <w:rPr>
          <w:rFonts w:eastAsia="Times New Roman"/>
        </w:rPr>
        <w:t xml:space="preserve">294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  <w:color w:val="222222"/>
        </w:rPr>
        <w:t>keturiolika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kalendorinių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plokštelių</w:t>
      </w:r>
      <w:proofErr w:type="spellEnd"/>
      <w:r>
        <w:rPr>
          <w:rFonts w:eastAsia="Times New Roman"/>
        </w:rPr>
        <w:t xml:space="preserve"> po 21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>.</w:t>
      </w:r>
    </w:p>
    <w:p w14:paraId="38E3B98D" w14:textId="77777777" w:rsidR="00A55746" w:rsidRDefault="00A55746" w:rsidP="00A55746">
      <w:pPr>
        <w:spacing w:line="191" w:lineRule="exact"/>
        <w:rPr>
          <w:sz w:val="20"/>
          <w:szCs w:val="20"/>
        </w:rPr>
      </w:pPr>
    </w:p>
    <w:p w14:paraId="1352249A" w14:textId="77777777" w:rsidR="00A55746" w:rsidRDefault="00A55746" w:rsidP="00A55746">
      <w:pPr>
        <w:ind w:left="6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</w:p>
    <w:p w14:paraId="5152DB45" w14:textId="77777777" w:rsidR="00A55746" w:rsidRDefault="00A55746" w:rsidP="00A55746">
      <w:pPr>
        <w:spacing w:line="4" w:lineRule="exact"/>
        <w:rPr>
          <w:sz w:val="20"/>
          <w:szCs w:val="20"/>
        </w:rPr>
      </w:pPr>
    </w:p>
    <w:p w14:paraId="72B2D029" w14:textId="77777777" w:rsidR="00A55746" w:rsidRDefault="00A55746" w:rsidP="00A55746">
      <w:pPr>
        <w:ind w:left="60"/>
        <w:rPr>
          <w:sz w:val="20"/>
          <w:szCs w:val="20"/>
        </w:rPr>
      </w:pPr>
      <w:r>
        <w:rPr>
          <w:rFonts w:eastAsia="Times New Roman"/>
        </w:rPr>
        <w:t>Bayer AG</w:t>
      </w:r>
    </w:p>
    <w:p w14:paraId="50E8BCE4" w14:textId="77777777" w:rsidR="00A55746" w:rsidRDefault="00A55746" w:rsidP="00A55746">
      <w:pPr>
        <w:spacing w:line="2" w:lineRule="exact"/>
        <w:rPr>
          <w:sz w:val="20"/>
          <w:szCs w:val="20"/>
        </w:rPr>
      </w:pPr>
    </w:p>
    <w:p w14:paraId="0BA34462" w14:textId="77777777" w:rsidR="00A55746" w:rsidRDefault="00A55746" w:rsidP="00A55746">
      <w:pPr>
        <w:ind w:left="60"/>
        <w:rPr>
          <w:sz w:val="20"/>
          <w:szCs w:val="20"/>
        </w:rPr>
      </w:pPr>
      <w:r>
        <w:rPr>
          <w:rFonts w:eastAsia="Times New Roman"/>
        </w:rPr>
        <w:t>51368 Leverkusen</w:t>
      </w:r>
    </w:p>
    <w:p w14:paraId="11831701" w14:textId="77777777" w:rsidR="00A55746" w:rsidRDefault="00A55746" w:rsidP="00A55746">
      <w:pPr>
        <w:spacing w:line="2" w:lineRule="exact"/>
        <w:rPr>
          <w:sz w:val="20"/>
          <w:szCs w:val="20"/>
        </w:rPr>
      </w:pPr>
    </w:p>
    <w:p w14:paraId="6D164C10" w14:textId="77777777" w:rsidR="00A55746" w:rsidRDefault="00A55746" w:rsidP="00A55746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Vokietija</w:t>
      </w:r>
      <w:proofErr w:type="spellEnd"/>
    </w:p>
    <w:p w14:paraId="0B7105B1" w14:textId="77777777" w:rsidR="00A55746" w:rsidRDefault="00A55746" w:rsidP="00A55746">
      <w:pPr>
        <w:spacing w:line="257" w:lineRule="exact"/>
        <w:rPr>
          <w:sz w:val="20"/>
          <w:szCs w:val="20"/>
        </w:rPr>
      </w:pPr>
    </w:p>
    <w:p w14:paraId="09F3FECB" w14:textId="77777777" w:rsidR="00A55746" w:rsidRDefault="00A55746" w:rsidP="00A55746">
      <w:pPr>
        <w:ind w:left="6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70825AA8" w14:textId="77777777" w:rsidR="00A55746" w:rsidRDefault="00A55746" w:rsidP="00A55746">
      <w:pPr>
        <w:spacing w:line="4" w:lineRule="exact"/>
        <w:rPr>
          <w:sz w:val="20"/>
          <w:szCs w:val="20"/>
        </w:rPr>
      </w:pPr>
    </w:p>
    <w:p w14:paraId="53DCBF9D" w14:textId="77777777" w:rsidR="00A55746" w:rsidRDefault="00A55746" w:rsidP="00A55746">
      <w:pPr>
        <w:ind w:left="60"/>
        <w:rPr>
          <w:sz w:val="20"/>
          <w:szCs w:val="20"/>
        </w:rPr>
      </w:pPr>
      <w:r>
        <w:rPr>
          <w:rFonts w:eastAsia="Times New Roman"/>
        </w:rPr>
        <w:t>Bayer AG</w:t>
      </w:r>
    </w:p>
    <w:p w14:paraId="56AFC91E" w14:textId="77777777" w:rsidR="00A55746" w:rsidRDefault="00A55746" w:rsidP="00A55746">
      <w:pPr>
        <w:spacing w:line="2" w:lineRule="exact"/>
        <w:rPr>
          <w:sz w:val="20"/>
          <w:szCs w:val="20"/>
        </w:rPr>
      </w:pPr>
    </w:p>
    <w:p w14:paraId="30C370FF" w14:textId="77777777" w:rsidR="00A55746" w:rsidRDefault="00A55746" w:rsidP="00A55746">
      <w:pPr>
        <w:ind w:left="60"/>
        <w:rPr>
          <w:sz w:val="20"/>
          <w:szCs w:val="20"/>
        </w:rPr>
      </w:pPr>
      <w:r>
        <w:rPr>
          <w:rFonts w:eastAsia="Times New Roman"/>
        </w:rPr>
        <w:t>Kaiser-Wilhelm-Allee</w:t>
      </w:r>
    </w:p>
    <w:p w14:paraId="54D2AC18" w14:textId="77777777" w:rsidR="00A55746" w:rsidRDefault="00A55746" w:rsidP="00A55746">
      <w:pPr>
        <w:spacing w:line="2" w:lineRule="exact"/>
        <w:rPr>
          <w:sz w:val="20"/>
          <w:szCs w:val="20"/>
        </w:rPr>
      </w:pPr>
    </w:p>
    <w:p w14:paraId="3120FD2C" w14:textId="77777777" w:rsidR="00A55746" w:rsidRDefault="00A55746" w:rsidP="00A55746">
      <w:pPr>
        <w:ind w:left="60"/>
        <w:rPr>
          <w:sz w:val="20"/>
          <w:szCs w:val="20"/>
        </w:rPr>
      </w:pPr>
      <w:r>
        <w:rPr>
          <w:rFonts w:eastAsia="Times New Roman"/>
        </w:rPr>
        <w:t>51368 Leverkusen</w:t>
      </w:r>
    </w:p>
    <w:p w14:paraId="599D3C67" w14:textId="77777777" w:rsidR="00A55746" w:rsidRDefault="00A55746" w:rsidP="00A55746">
      <w:pPr>
        <w:spacing w:line="2" w:lineRule="exact"/>
        <w:rPr>
          <w:sz w:val="20"/>
          <w:szCs w:val="20"/>
        </w:rPr>
      </w:pPr>
    </w:p>
    <w:p w14:paraId="002316D6" w14:textId="77777777" w:rsidR="00A55746" w:rsidRDefault="00A55746" w:rsidP="00A55746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Vokietija</w:t>
      </w:r>
      <w:proofErr w:type="spellEnd"/>
    </w:p>
    <w:p w14:paraId="5D2FB3EE" w14:textId="77777777" w:rsidR="00A55746" w:rsidRDefault="00A55746" w:rsidP="00A55746">
      <w:pPr>
        <w:spacing w:line="256" w:lineRule="exact"/>
        <w:rPr>
          <w:sz w:val="20"/>
          <w:szCs w:val="20"/>
        </w:rPr>
      </w:pPr>
    </w:p>
    <w:p w14:paraId="0A16A767" w14:textId="77777777" w:rsidR="00A55746" w:rsidRDefault="00A55746" w:rsidP="00A55746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norite </w:t>
      </w:r>
      <w:proofErr w:type="spellStart"/>
      <w:r>
        <w:rPr>
          <w:rFonts w:eastAsia="Times New Roman"/>
        </w:rPr>
        <w:t>sužinoti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vietinį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registruotojo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atstovą</w:t>
      </w:r>
      <w:proofErr w:type="spellEnd"/>
      <w:r>
        <w:rPr>
          <w:rFonts w:eastAsia="Times New Roman"/>
        </w:rPr>
        <w:t>.</w:t>
      </w:r>
    </w:p>
    <w:p w14:paraId="2220D889" w14:textId="77777777" w:rsidR="00A55746" w:rsidRDefault="00A55746" w:rsidP="00A55746">
      <w:pPr>
        <w:spacing w:line="255" w:lineRule="exact"/>
        <w:rPr>
          <w:sz w:val="20"/>
          <w:szCs w:val="20"/>
        </w:rPr>
      </w:pPr>
    </w:p>
    <w:p w14:paraId="611FC97F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België</w:t>
      </w:r>
      <w:proofErr w:type="spellEnd"/>
      <w:r>
        <w:rPr>
          <w:rFonts w:eastAsia="Times New Roman"/>
          <w:b/>
          <w:bCs/>
        </w:rPr>
        <w:t xml:space="preserve"> / Belgique / </w:t>
      </w:r>
      <w:proofErr w:type="spellStart"/>
      <w:r>
        <w:rPr>
          <w:rFonts w:eastAsia="Times New Roman"/>
          <w:b/>
          <w:bCs/>
        </w:rPr>
        <w:t>Belgien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sz w:val="21"/>
          <w:szCs w:val="21"/>
        </w:rPr>
        <w:t>Lietuva</w:t>
      </w:r>
      <w:proofErr w:type="spellEnd"/>
    </w:p>
    <w:p w14:paraId="1B820327" w14:textId="77777777" w:rsidR="00A55746" w:rsidRDefault="00A55746" w:rsidP="00A55746">
      <w:pPr>
        <w:spacing w:line="8" w:lineRule="exact"/>
        <w:rPr>
          <w:sz w:val="20"/>
          <w:szCs w:val="20"/>
        </w:rPr>
      </w:pPr>
    </w:p>
    <w:p w14:paraId="65BFA5DD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MSD Belgium BVBA/SPRL</w:t>
      </w:r>
      <w:r>
        <w:rPr>
          <w:sz w:val="20"/>
          <w:szCs w:val="20"/>
        </w:rPr>
        <w:tab/>
      </w:r>
      <w:r>
        <w:rPr>
          <w:rFonts w:eastAsia="Times New Roman"/>
        </w:rPr>
        <w:t>UAB Merck Sharp &amp; Dohme</w:t>
      </w:r>
    </w:p>
    <w:p w14:paraId="044B000E" w14:textId="77777777" w:rsidR="00A55746" w:rsidRDefault="00A55746" w:rsidP="00A55746">
      <w:pPr>
        <w:spacing w:line="2" w:lineRule="exact"/>
        <w:rPr>
          <w:sz w:val="20"/>
          <w:szCs w:val="20"/>
        </w:rPr>
      </w:pPr>
    </w:p>
    <w:p w14:paraId="4C4DDAB9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+32(0)27766211</w:t>
      </w:r>
      <w:r>
        <w:rPr>
          <w:sz w:val="20"/>
          <w:szCs w:val="20"/>
        </w:rPr>
        <w:tab/>
      </w:r>
      <w:r>
        <w:rPr>
          <w:rFonts w:eastAsia="Times New Roman"/>
        </w:rPr>
        <w:t>Tel: + 370 5 2780247</w:t>
      </w:r>
    </w:p>
    <w:p w14:paraId="61CCC98A" w14:textId="77777777" w:rsidR="00A55746" w:rsidRDefault="00A55746" w:rsidP="00A55746">
      <w:pPr>
        <w:spacing w:line="5" w:lineRule="exact"/>
        <w:rPr>
          <w:sz w:val="20"/>
          <w:szCs w:val="20"/>
        </w:rPr>
      </w:pPr>
    </w:p>
    <w:p w14:paraId="085CA746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dpoc_belux@merck.com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msd_lietuva@merck.com</w:t>
      </w:r>
    </w:p>
    <w:p w14:paraId="6589F0BC" w14:textId="77777777" w:rsidR="00A55746" w:rsidRDefault="00A55746" w:rsidP="00A55746">
      <w:pPr>
        <w:spacing w:line="264" w:lineRule="exact"/>
        <w:rPr>
          <w:sz w:val="20"/>
          <w:szCs w:val="20"/>
        </w:rPr>
      </w:pPr>
    </w:p>
    <w:p w14:paraId="77E540FF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България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Luxembourg / Luxemburg</w:t>
      </w:r>
    </w:p>
    <w:p w14:paraId="30FB7BA3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3AC2DF93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Мерк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Шарп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Доум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България</w:t>
      </w:r>
      <w:proofErr w:type="spellEnd"/>
      <w:r>
        <w:rPr>
          <w:rFonts w:eastAsia="Times New Roman"/>
        </w:rPr>
        <w:t xml:space="preserve"> ЕООД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MSD Belgium BVBA/SPRL</w:t>
      </w:r>
    </w:p>
    <w:p w14:paraId="6107EF8E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087DFCAC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Teл</w:t>
      </w:r>
      <w:proofErr w:type="spellEnd"/>
      <w:r>
        <w:rPr>
          <w:rFonts w:eastAsia="Times New Roman"/>
        </w:rPr>
        <w:t>.: + 359 2 819 37 37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Tel/</w:t>
      </w:r>
      <w:proofErr w:type="spellStart"/>
      <w:r>
        <w:rPr>
          <w:rFonts w:eastAsia="Times New Roman"/>
          <w:sz w:val="21"/>
          <w:szCs w:val="21"/>
        </w:rPr>
        <w:t>Tél</w:t>
      </w:r>
      <w:proofErr w:type="spellEnd"/>
      <w:r>
        <w:rPr>
          <w:rFonts w:eastAsia="Times New Roman"/>
          <w:sz w:val="21"/>
          <w:szCs w:val="21"/>
        </w:rPr>
        <w:t>: +32(0)27766211</w:t>
      </w:r>
    </w:p>
    <w:p w14:paraId="6452FD0B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5EC26F6D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info-msdbg@merck.com</w:t>
      </w:r>
      <w:r>
        <w:rPr>
          <w:sz w:val="20"/>
          <w:szCs w:val="20"/>
        </w:rPr>
        <w:tab/>
      </w:r>
      <w:r>
        <w:rPr>
          <w:rFonts w:eastAsia="Times New Roman"/>
        </w:rPr>
        <w:t>dpoc_belux@merck.com</w:t>
      </w:r>
    </w:p>
    <w:p w14:paraId="6439A008" w14:textId="77777777" w:rsidR="00A55746" w:rsidRDefault="00A55746" w:rsidP="00A55746">
      <w:pPr>
        <w:spacing w:line="264" w:lineRule="exact"/>
        <w:rPr>
          <w:sz w:val="20"/>
          <w:szCs w:val="20"/>
        </w:rPr>
      </w:pPr>
    </w:p>
    <w:p w14:paraId="11BD4147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Magyarország</w:t>
      </w:r>
      <w:proofErr w:type="spellEnd"/>
    </w:p>
    <w:p w14:paraId="247E09A0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124407E2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 xml:space="preserve">Merck Sharp &amp; Dohme </w:t>
      </w:r>
      <w:proofErr w:type="spellStart"/>
      <w:r>
        <w:rPr>
          <w:rFonts w:eastAsia="Times New Roman"/>
        </w:rPr>
        <w:t>s.r.o.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</w:rPr>
        <w:t xml:space="preserve">MSD Pharma Hungary </w:t>
      </w:r>
      <w:proofErr w:type="spellStart"/>
      <w:r>
        <w:rPr>
          <w:rFonts w:eastAsia="Times New Roman"/>
        </w:rPr>
        <w:t>Kft</w:t>
      </w:r>
      <w:proofErr w:type="spellEnd"/>
      <w:r>
        <w:rPr>
          <w:rFonts w:eastAsia="Times New Roman"/>
        </w:rPr>
        <w:t>.</w:t>
      </w:r>
    </w:p>
    <w:p w14:paraId="56EF2AE3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304D32BD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Tel.: +420 233 010 111</w:t>
      </w:r>
      <w:r>
        <w:rPr>
          <w:sz w:val="20"/>
          <w:szCs w:val="20"/>
        </w:rPr>
        <w:tab/>
      </w:r>
      <w:r>
        <w:rPr>
          <w:rFonts w:eastAsia="Times New Roman"/>
        </w:rPr>
        <w:t>Tel.: + 36 1 888 5300</w:t>
      </w:r>
    </w:p>
    <w:p w14:paraId="1CA04232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4B184138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dpoc_czechslovak@merck.com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hungary_msd@merck.com</w:t>
      </w:r>
    </w:p>
    <w:p w14:paraId="7C8ADF00" w14:textId="77777777" w:rsidR="00A55746" w:rsidRDefault="00A55746" w:rsidP="00A55746">
      <w:pPr>
        <w:spacing w:line="264" w:lineRule="exact"/>
        <w:rPr>
          <w:sz w:val="20"/>
          <w:szCs w:val="20"/>
        </w:rPr>
      </w:pPr>
    </w:p>
    <w:p w14:paraId="769A0526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Danmark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Malta</w:t>
      </w:r>
    </w:p>
    <w:p w14:paraId="0DC47047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441415CE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 xml:space="preserve">MSD </w:t>
      </w:r>
      <w:proofErr w:type="spellStart"/>
      <w:r>
        <w:rPr>
          <w:rFonts w:eastAsia="Times New Roman"/>
        </w:rPr>
        <w:t>Danmark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</w:rPr>
        <w:t>Merck Sharp &amp; Dohme Cyprus Limited</w:t>
      </w:r>
    </w:p>
    <w:p w14:paraId="51955AA6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69C371D6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+ 45 4482 4000</w:t>
      </w:r>
      <w:r>
        <w:rPr>
          <w:sz w:val="20"/>
          <w:szCs w:val="20"/>
        </w:rPr>
        <w:tab/>
      </w:r>
      <w:r>
        <w:rPr>
          <w:rFonts w:eastAsia="Times New Roman"/>
        </w:rPr>
        <w:t>Tel: 8007 4433 (+356 99917558)</w:t>
      </w:r>
    </w:p>
    <w:p w14:paraId="09F30F4A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4C9E369D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dkmail@merck.com</w:t>
      </w:r>
      <w:r>
        <w:rPr>
          <w:sz w:val="20"/>
          <w:szCs w:val="20"/>
        </w:rPr>
        <w:tab/>
      </w:r>
      <w:r>
        <w:rPr>
          <w:rFonts w:eastAsia="Times New Roman"/>
        </w:rPr>
        <w:t>malta</w:t>
      </w:r>
      <w:r>
        <w:rPr>
          <w:rFonts w:eastAsia="Times New Roman"/>
          <w:b/>
          <w:bCs/>
        </w:rPr>
        <w:t>_</w:t>
      </w:r>
      <w:r>
        <w:rPr>
          <w:rFonts w:eastAsia="Times New Roman"/>
        </w:rPr>
        <w:t>info@merck.com</w:t>
      </w:r>
    </w:p>
    <w:p w14:paraId="6CA20FBB" w14:textId="77777777" w:rsidR="00A55746" w:rsidRDefault="00A55746" w:rsidP="00A55746">
      <w:pPr>
        <w:spacing w:line="264" w:lineRule="exact"/>
        <w:rPr>
          <w:sz w:val="20"/>
          <w:szCs w:val="20"/>
        </w:rPr>
      </w:pPr>
    </w:p>
    <w:p w14:paraId="20426BF3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  <w:b/>
          <w:bCs/>
        </w:rPr>
        <w:t>Deutschland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Nederland</w:t>
      </w:r>
    </w:p>
    <w:p w14:paraId="2F341C39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7D2B9377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MSD SHARP &amp; DOHME GMBH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Merck Sharp &amp; Dohme B.V.</w:t>
      </w:r>
    </w:p>
    <w:p w14:paraId="0BC5377E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27EE889C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Tel: 0800 673 673 673 (+49 (0) 89 4561 2612)</w:t>
      </w:r>
      <w:r>
        <w:rPr>
          <w:sz w:val="20"/>
          <w:szCs w:val="20"/>
        </w:rPr>
        <w:tab/>
      </w:r>
      <w:r>
        <w:rPr>
          <w:rFonts w:eastAsia="Times New Roman"/>
        </w:rPr>
        <w:t>Tel: 0800 9999 000 (+ 31 23 5153153)</w:t>
      </w:r>
    </w:p>
    <w:p w14:paraId="04FB861E" w14:textId="77777777" w:rsidR="00A55746" w:rsidRDefault="00A55746" w:rsidP="00A55746">
      <w:pPr>
        <w:spacing w:line="4" w:lineRule="exact"/>
        <w:rPr>
          <w:sz w:val="20"/>
          <w:szCs w:val="20"/>
        </w:rPr>
      </w:pPr>
    </w:p>
    <w:p w14:paraId="4054DE47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email@msd.de</w:t>
      </w:r>
      <w:r>
        <w:rPr>
          <w:sz w:val="20"/>
          <w:szCs w:val="20"/>
        </w:rPr>
        <w:tab/>
      </w:r>
      <w:r>
        <w:rPr>
          <w:rFonts w:eastAsia="Times New Roman"/>
        </w:rPr>
        <w:t>medicalinfo.nl@merck.com</w:t>
      </w:r>
    </w:p>
    <w:p w14:paraId="12E0182C" w14:textId="77777777" w:rsidR="00A55746" w:rsidRDefault="00A55746" w:rsidP="00A55746">
      <w:pPr>
        <w:spacing w:line="268" w:lineRule="exact"/>
        <w:rPr>
          <w:sz w:val="20"/>
          <w:szCs w:val="20"/>
        </w:rPr>
      </w:pPr>
    </w:p>
    <w:p w14:paraId="3A0C0350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Eesti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Norge</w:t>
      </w:r>
    </w:p>
    <w:p w14:paraId="79E7D7CB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4E4E8EBE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Merck Sharp &amp; Dohme OÜ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MSD (Norge) AS</w:t>
      </w:r>
    </w:p>
    <w:p w14:paraId="36C6DC93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0608CD2C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Tel: + 372 6144 200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+ 47 32 20 73 00</w:t>
      </w:r>
    </w:p>
    <w:p w14:paraId="1AB3B554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7B400EA9" w14:textId="77777777" w:rsidR="00A55746" w:rsidRDefault="00A55746" w:rsidP="00A55746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msdeesti@merck.com</w:t>
      </w:r>
      <w:r>
        <w:rPr>
          <w:sz w:val="20"/>
          <w:szCs w:val="20"/>
        </w:rPr>
        <w:tab/>
      </w:r>
      <w:r>
        <w:rPr>
          <w:rFonts w:eastAsia="Times New Roman"/>
        </w:rPr>
        <w:t>msdnorge@msd.no</w:t>
      </w:r>
    </w:p>
    <w:p w14:paraId="637F5D9B" w14:textId="77777777" w:rsidR="00A55746" w:rsidRDefault="00A55746" w:rsidP="00A55746">
      <w:pPr>
        <w:sectPr w:rsidR="00A55746">
          <w:pgSz w:w="11900" w:h="16840"/>
          <w:pgMar w:top="1115" w:right="1440" w:bottom="184" w:left="1380" w:header="0" w:footer="0" w:gutter="0"/>
          <w:cols w:space="720" w:equalWidth="0">
            <w:col w:w="9084"/>
          </w:cols>
        </w:sectPr>
      </w:pPr>
    </w:p>
    <w:p w14:paraId="2836F906" w14:textId="77777777" w:rsidR="00A55746" w:rsidRDefault="00A55746" w:rsidP="00A55746">
      <w:pPr>
        <w:spacing w:line="200" w:lineRule="exact"/>
        <w:rPr>
          <w:sz w:val="20"/>
          <w:szCs w:val="20"/>
        </w:rPr>
      </w:pPr>
    </w:p>
    <w:p w14:paraId="5FFC1C5E" w14:textId="77777777" w:rsidR="00A55746" w:rsidRDefault="00A55746" w:rsidP="00A55746">
      <w:pPr>
        <w:spacing w:line="200" w:lineRule="exact"/>
        <w:rPr>
          <w:sz w:val="20"/>
          <w:szCs w:val="20"/>
        </w:rPr>
      </w:pPr>
    </w:p>
    <w:p w14:paraId="65D91D09" w14:textId="77777777" w:rsidR="00A55746" w:rsidRDefault="00A55746" w:rsidP="00A55746">
      <w:pPr>
        <w:spacing w:line="200" w:lineRule="exact"/>
        <w:rPr>
          <w:sz w:val="20"/>
          <w:szCs w:val="20"/>
        </w:rPr>
      </w:pPr>
    </w:p>
    <w:p w14:paraId="553BC8C5" w14:textId="77777777" w:rsidR="00A55746" w:rsidRDefault="00A55746" w:rsidP="00A55746">
      <w:pPr>
        <w:spacing w:line="200" w:lineRule="exact"/>
        <w:rPr>
          <w:sz w:val="20"/>
          <w:szCs w:val="20"/>
        </w:rPr>
      </w:pPr>
    </w:p>
    <w:p w14:paraId="719219FC" w14:textId="77777777" w:rsidR="00A55746" w:rsidRDefault="00A55746" w:rsidP="00A55746">
      <w:pPr>
        <w:spacing w:line="256" w:lineRule="exact"/>
        <w:rPr>
          <w:sz w:val="20"/>
          <w:szCs w:val="20"/>
        </w:rPr>
      </w:pPr>
    </w:p>
    <w:p w14:paraId="0CFBD262" w14:textId="77777777" w:rsidR="00A55746" w:rsidRDefault="00A55746" w:rsidP="00A55746">
      <w:pPr>
        <w:ind w:right="2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</w:t>
      </w:r>
    </w:p>
    <w:p w14:paraId="33C2BA91" w14:textId="77777777" w:rsidR="00A55746" w:rsidRDefault="00A55746" w:rsidP="00A55746">
      <w:pPr>
        <w:sectPr w:rsidR="00A55746">
          <w:type w:val="continuous"/>
          <w:pgSz w:w="11900" w:h="16840"/>
          <w:pgMar w:top="1115" w:right="1440" w:bottom="184" w:left="1380" w:header="0" w:footer="0" w:gutter="0"/>
          <w:cols w:space="720" w:equalWidth="0">
            <w:col w:w="9084"/>
          </w:cols>
        </w:sectPr>
      </w:pPr>
    </w:p>
    <w:p w14:paraId="507C12A8" w14:textId="77777777" w:rsidR="00A55746" w:rsidRDefault="00A55746" w:rsidP="00A55746">
      <w:pPr>
        <w:rPr>
          <w:sz w:val="20"/>
          <w:szCs w:val="20"/>
        </w:rPr>
      </w:pPr>
      <w:bookmarkStart w:id="6" w:name="page40"/>
      <w:bookmarkEnd w:id="6"/>
      <w:proofErr w:type="spellStart"/>
      <w:r>
        <w:rPr>
          <w:rFonts w:eastAsia="Times New Roman"/>
          <w:b/>
          <w:bCs/>
        </w:rPr>
        <w:lastRenderedPageBreak/>
        <w:t>Ελλάδ</w:t>
      </w:r>
      <w:proofErr w:type="spellEnd"/>
      <w:r>
        <w:rPr>
          <w:rFonts w:eastAsia="Times New Roman"/>
          <w:b/>
          <w:bCs/>
        </w:rPr>
        <w:t>α</w:t>
      </w:r>
    </w:p>
    <w:p w14:paraId="42E4A9E5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5956A17D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</w:rPr>
        <w:t>MSD Α.Φ.Β.Ε.Ε</w:t>
      </w:r>
    </w:p>
    <w:p w14:paraId="6B7E1671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5F2FEBAE" w14:textId="77777777" w:rsidR="00A55746" w:rsidRDefault="00A55746" w:rsidP="00A55746">
      <w:pPr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+ 30 210 98 97 300</w:t>
      </w:r>
    </w:p>
    <w:p w14:paraId="4C714B26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315CE1F3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</w:rPr>
        <w:t>dpoc_greece@merck.com</w:t>
      </w:r>
    </w:p>
    <w:p w14:paraId="5354E564" w14:textId="77777777" w:rsidR="00A55746" w:rsidRDefault="00A55746" w:rsidP="00A55746">
      <w:pPr>
        <w:spacing w:line="264" w:lineRule="exact"/>
        <w:rPr>
          <w:sz w:val="20"/>
          <w:szCs w:val="20"/>
        </w:rPr>
      </w:pPr>
    </w:p>
    <w:p w14:paraId="7AF11D6B" w14:textId="77777777" w:rsidR="00A55746" w:rsidRDefault="00A55746" w:rsidP="00A55746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España</w:t>
      </w:r>
      <w:proofErr w:type="spellEnd"/>
    </w:p>
    <w:p w14:paraId="0F0287E3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6F23C63C" w14:textId="77777777" w:rsidR="00A55746" w:rsidRDefault="00A55746" w:rsidP="00A55746">
      <w:pPr>
        <w:spacing w:line="262" w:lineRule="auto"/>
        <w:ind w:right="720"/>
        <w:rPr>
          <w:sz w:val="20"/>
          <w:szCs w:val="20"/>
        </w:rPr>
      </w:pPr>
      <w:r>
        <w:rPr>
          <w:rFonts w:eastAsia="Times New Roman"/>
        </w:rPr>
        <w:t xml:space="preserve">Merck Sharp &amp; Dohme de </w:t>
      </w:r>
      <w:proofErr w:type="spellStart"/>
      <w:r>
        <w:rPr>
          <w:rFonts w:eastAsia="Times New Roman"/>
        </w:rPr>
        <w:t>España</w:t>
      </w:r>
      <w:proofErr w:type="spellEnd"/>
      <w:r>
        <w:rPr>
          <w:rFonts w:eastAsia="Times New Roman"/>
        </w:rPr>
        <w:t>, S.A. Tel: +34 91 321 06 00 msd_info@merck.com</w:t>
      </w:r>
    </w:p>
    <w:p w14:paraId="4A78E388" w14:textId="77777777" w:rsidR="00A55746" w:rsidRDefault="00A55746" w:rsidP="00A55746">
      <w:pPr>
        <w:spacing w:line="209" w:lineRule="exact"/>
        <w:rPr>
          <w:sz w:val="20"/>
          <w:szCs w:val="20"/>
        </w:rPr>
      </w:pPr>
    </w:p>
    <w:p w14:paraId="1ABDBC70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  <w:b/>
          <w:bCs/>
        </w:rPr>
        <w:t>France</w:t>
      </w:r>
    </w:p>
    <w:p w14:paraId="7BF2DAF8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2EC74478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</w:rPr>
        <w:t>MSD France</w:t>
      </w:r>
    </w:p>
    <w:p w14:paraId="2D9A8A7C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1CBF7730" w14:textId="77777777" w:rsidR="00A55746" w:rsidRDefault="00A55746" w:rsidP="00A55746">
      <w:pPr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: + 33 (0) 01 80 46 40 40</w:t>
      </w:r>
    </w:p>
    <w:p w14:paraId="784C327E" w14:textId="77777777" w:rsidR="00A55746" w:rsidRDefault="00A55746" w:rsidP="00A55746">
      <w:pPr>
        <w:spacing w:line="200" w:lineRule="exact"/>
        <w:rPr>
          <w:sz w:val="20"/>
          <w:szCs w:val="20"/>
        </w:rPr>
      </w:pPr>
    </w:p>
    <w:p w14:paraId="1E3A059C" w14:textId="77777777" w:rsidR="00A55746" w:rsidRDefault="00A55746" w:rsidP="00A55746">
      <w:pPr>
        <w:spacing w:line="323" w:lineRule="exact"/>
        <w:rPr>
          <w:sz w:val="20"/>
          <w:szCs w:val="20"/>
        </w:rPr>
      </w:pPr>
    </w:p>
    <w:p w14:paraId="32F5F2A3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  <w:b/>
          <w:bCs/>
        </w:rPr>
        <w:t>Hrvatska</w:t>
      </w:r>
    </w:p>
    <w:p w14:paraId="206A1D33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21EEFA08" w14:textId="77777777" w:rsidR="00A55746" w:rsidRDefault="00A55746" w:rsidP="00A55746">
      <w:pPr>
        <w:spacing w:line="262" w:lineRule="auto"/>
        <w:ind w:right="1620"/>
        <w:rPr>
          <w:sz w:val="20"/>
          <w:szCs w:val="20"/>
        </w:rPr>
      </w:pPr>
      <w:r>
        <w:rPr>
          <w:rFonts w:eastAsia="Times New Roman"/>
        </w:rPr>
        <w:t>Merck Sharp &amp; Dohme d.o.o. Tel: + 385 1 6611 333 croatia_info@merck.com</w:t>
      </w:r>
    </w:p>
    <w:p w14:paraId="67FAC9D7" w14:textId="77777777" w:rsidR="00A55746" w:rsidRDefault="00A55746" w:rsidP="00A55746">
      <w:pPr>
        <w:spacing w:line="209" w:lineRule="exact"/>
        <w:rPr>
          <w:sz w:val="20"/>
          <w:szCs w:val="20"/>
        </w:rPr>
      </w:pPr>
    </w:p>
    <w:p w14:paraId="1B1E1B25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  <w:b/>
          <w:bCs/>
        </w:rPr>
        <w:t>Ireland</w:t>
      </w:r>
    </w:p>
    <w:p w14:paraId="6D040C57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4F5A64C2" w14:textId="77777777" w:rsidR="00A55746" w:rsidRDefault="00A55746" w:rsidP="00A55746">
      <w:pPr>
        <w:spacing w:line="247" w:lineRule="auto"/>
        <w:rPr>
          <w:sz w:val="20"/>
          <w:szCs w:val="20"/>
        </w:rPr>
      </w:pPr>
      <w:r>
        <w:rPr>
          <w:rFonts w:eastAsia="Times New Roman"/>
        </w:rPr>
        <w:t>Merck Sharp &amp; Dohme Ireland (Human Health) Limited</w:t>
      </w:r>
    </w:p>
    <w:p w14:paraId="59D849C1" w14:textId="77777777" w:rsidR="00A55746" w:rsidRDefault="00A55746" w:rsidP="00A55746">
      <w:pPr>
        <w:spacing w:line="302" w:lineRule="auto"/>
        <w:ind w:right="16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+353 (0)1 2998700 medinfo_ireland@merck.com</w:t>
      </w:r>
    </w:p>
    <w:p w14:paraId="599264CD" w14:textId="77777777" w:rsidR="00A55746" w:rsidRDefault="00A55746" w:rsidP="00A55746">
      <w:pPr>
        <w:spacing w:line="170" w:lineRule="exact"/>
        <w:rPr>
          <w:sz w:val="20"/>
          <w:szCs w:val="20"/>
        </w:rPr>
      </w:pPr>
    </w:p>
    <w:p w14:paraId="6031F7B2" w14:textId="77777777" w:rsidR="00A55746" w:rsidRDefault="00A55746" w:rsidP="00A55746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Ísland</w:t>
      </w:r>
      <w:proofErr w:type="spellEnd"/>
    </w:p>
    <w:p w14:paraId="77F83EBA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098B6853" w14:textId="77777777" w:rsidR="00A55746" w:rsidRDefault="00A55746" w:rsidP="00A55746">
      <w:pPr>
        <w:rPr>
          <w:sz w:val="20"/>
          <w:szCs w:val="20"/>
        </w:rPr>
      </w:pPr>
      <w:proofErr w:type="spellStart"/>
      <w:r>
        <w:rPr>
          <w:rFonts w:eastAsia="Times New Roman"/>
        </w:rPr>
        <w:t>Vistor</w:t>
      </w:r>
      <w:proofErr w:type="spellEnd"/>
      <w:r>
        <w:rPr>
          <w:rFonts w:eastAsia="Times New Roman"/>
        </w:rPr>
        <w:t xml:space="preserve"> hf.</w:t>
      </w:r>
    </w:p>
    <w:p w14:paraId="442DEA48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3081937D" w14:textId="77777777" w:rsidR="00A55746" w:rsidRDefault="00A55746" w:rsidP="00A55746">
      <w:pPr>
        <w:rPr>
          <w:sz w:val="20"/>
          <w:szCs w:val="20"/>
        </w:rPr>
      </w:pPr>
      <w:proofErr w:type="spellStart"/>
      <w:r>
        <w:rPr>
          <w:rFonts w:eastAsia="Times New Roman"/>
        </w:rPr>
        <w:t>Sími</w:t>
      </w:r>
      <w:proofErr w:type="spellEnd"/>
      <w:r>
        <w:rPr>
          <w:rFonts w:eastAsia="Times New Roman"/>
        </w:rPr>
        <w:t>: + 354 535 7000</w:t>
      </w:r>
    </w:p>
    <w:p w14:paraId="7603F940" w14:textId="77777777" w:rsidR="00A55746" w:rsidRDefault="00A55746" w:rsidP="00A55746">
      <w:pPr>
        <w:spacing w:line="200" w:lineRule="exact"/>
        <w:rPr>
          <w:sz w:val="20"/>
          <w:szCs w:val="20"/>
        </w:rPr>
      </w:pPr>
    </w:p>
    <w:p w14:paraId="117DFA19" w14:textId="77777777" w:rsidR="00A55746" w:rsidRDefault="00A55746" w:rsidP="00A55746">
      <w:pPr>
        <w:spacing w:line="325" w:lineRule="exact"/>
        <w:rPr>
          <w:sz w:val="20"/>
          <w:szCs w:val="20"/>
        </w:rPr>
      </w:pPr>
    </w:p>
    <w:p w14:paraId="28F04FA6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  <w:b/>
          <w:bCs/>
        </w:rPr>
        <w:t>Italia</w:t>
      </w:r>
    </w:p>
    <w:p w14:paraId="262C607C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0F7E2BF9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</w:rPr>
        <w:t xml:space="preserve">MSD Italia </w:t>
      </w:r>
      <w:proofErr w:type="spellStart"/>
      <w:r>
        <w:rPr>
          <w:rFonts w:eastAsia="Times New Roman"/>
        </w:rPr>
        <w:t>S.r.l</w:t>
      </w:r>
      <w:proofErr w:type="spellEnd"/>
      <w:r>
        <w:rPr>
          <w:rFonts w:eastAsia="Times New Roman"/>
        </w:rPr>
        <w:t>.</w:t>
      </w:r>
    </w:p>
    <w:p w14:paraId="7669A866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4E6E530E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</w:rPr>
        <w:t>Tel: +39 06 361911</w:t>
      </w:r>
    </w:p>
    <w:p w14:paraId="79751F9E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1D4AE0F1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</w:rPr>
        <w:t>medicalinformation.it@merck.com</w:t>
      </w:r>
    </w:p>
    <w:p w14:paraId="5CA450CB" w14:textId="77777777" w:rsidR="00A55746" w:rsidRDefault="00A55746" w:rsidP="00A55746">
      <w:pPr>
        <w:spacing w:line="264" w:lineRule="exact"/>
        <w:rPr>
          <w:sz w:val="20"/>
          <w:szCs w:val="20"/>
        </w:rPr>
      </w:pPr>
    </w:p>
    <w:p w14:paraId="26BC7462" w14:textId="77777777" w:rsidR="00A55746" w:rsidRDefault="00A55746" w:rsidP="00A55746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Κύ</w:t>
      </w:r>
      <w:proofErr w:type="spellEnd"/>
      <w:r>
        <w:rPr>
          <w:rFonts w:eastAsia="Times New Roman"/>
          <w:b/>
          <w:bCs/>
        </w:rPr>
        <w:t>προς</w:t>
      </w:r>
    </w:p>
    <w:p w14:paraId="26C99803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1ED97EB6" w14:textId="77777777" w:rsidR="00A55746" w:rsidRDefault="00A55746" w:rsidP="00A55746">
      <w:pPr>
        <w:spacing w:line="262" w:lineRule="auto"/>
        <w:ind w:right="720"/>
        <w:rPr>
          <w:sz w:val="20"/>
          <w:szCs w:val="20"/>
        </w:rPr>
      </w:pPr>
      <w:r>
        <w:rPr>
          <w:rFonts w:eastAsia="Times New Roman"/>
        </w:rPr>
        <w:t xml:space="preserve">Merck Sharp &amp; Dohme Cyprus Limited </w:t>
      </w: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800 00 673 (+357 22866700) cyprus</w:t>
      </w:r>
      <w:r>
        <w:rPr>
          <w:rFonts w:eastAsia="Times New Roman"/>
          <w:b/>
          <w:bCs/>
        </w:rPr>
        <w:t>_</w:t>
      </w:r>
      <w:r>
        <w:rPr>
          <w:rFonts w:eastAsia="Times New Roman"/>
        </w:rPr>
        <w:t>info</w:t>
      </w:r>
      <w:r>
        <w:rPr>
          <w:rFonts w:eastAsia="Times New Roman"/>
          <w:b/>
          <w:bCs/>
        </w:rPr>
        <w:t>@</w:t>
      </w:r>
      <w:r>
        <w:rPr>
          <w:rFonts w:eastAsia="Times New Roman"/>
        </w:rPr>
        <w:t>merck</w:t>
      </w:r>
      <w:r>
        <w:rPr>
          <w:rFonts w:eastAsia="Times New Roman"/>
          <w:b/>
          <w:bCs/>
        </w:rPr>
        <w:t>.</w:t>
      </w:r>
      <w:r>
        <w:rPr>
          <w:rFonts w:eastAsia="Times New Roman"/>
        </w:rPr>
        <w:t>com</w:t>
      </w:r>
    </w:p>
    <w:p w14:paraId="18DEDADF" w14:textId="77777777" w:rsidR="00A55746" w:rsidRDefault="00A55746" w:rsidP="00A55746">
      <w:pPr>
        <w:spacing w:line="209" w:lineRule="exact"/>
        <w:rPr>
          <w:sz w:val="20"/>
          <w:szCs w:val="20"/>
        </w:rPr>
      </w:pPr>
    </w:p>
    <w:p w14:paraId="387F4CD1" w14:textId="77777777" w:rsidR="00A55746" w:rsidRDefault="00A55746" w:rsidP="00A55746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Latvija</w:t>
      </w:r>
      <w:proofErr w:type="spellEnd"/>
    </w:p>
    <w:p w14:paraId="06B2C36C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12FFC361" w14:textId="77777777" w:rsidR="00A55746" w:rsidRDefault="00A55746" w:rsidP="00A55746">
      <w:pPr>
        <w:spacing w:line="262" w:lineRule="auto"/>
        <w:ind w:right="1080"/>
        <w:rPr>
          <w:sz w:val="20"/>
          <w:szCs w:val="20"/>
        </w:rPr>
      </w:pPr>
      <w:r>
        <w:rPr>
          <w:rFonts w:eastAsia="Times New Roman"/>
        </w:rPr>
        <w:t xml:space="preserve">SIA Merck Sharp &amp; Dohme </w:t>
      </w:r>
      <w:proofErr w:type="spellStart"/>
      <w:r>
        <w:rPr>
          <w:rFonts w:eastAsia="Times New Roman"/>
        </w:rPr>
        <w:t>Latvija</w:t>
      </w:r>
      <w:proofErr w:type="spellEnd"/>
      <w:r>
        <w:rPr>
          <w:rFonts w:eastAsia="Times New Roman"/>
        </w:rPr>
        <w:t xml:space="preserve"> Tel: + 371 67364224 msd_lv@merck.com</w:t>
      </w:r>
    </w:p>
    <w:p w14:paraId="78F71C1A" w14:textId="77777777" w:rsidR="00A55746" w:rsidRDefault="00A55746" w:rsidP="00A557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AFE16AB" w14:textId="77777777" w:rsidR="00A55746" w:rsidRDefault="00A55746" w:rsidP="00A55746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Österreich</w:t>
      </w:r>
      <w:proofErr w:type="spellEnd"/>
    </w:p>
    <w:p w14:paraId="40B87676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7FA56C9F" w14:textId="77777777" w:rsidR="00A55746" w:rsidRDefault="00A55746" w:rsidP="00A55746">
      <w:pPr>
        <w:spacing w:line="262" w:lineRule="auto"/>
        <w:ind w:right="1300"/>
        <w:rPr>
          <w:sz w:val="20"/>
          <w:szCs w:val="20"/>
        </w:rPr>
      </w:pPr>
      <w:r>
        <w:rPr>
          <w:rFonts w:eastAsia="Times New Roman"/>
        </w:rPr>
        <w:t xml:space="preserve">Merck Sharp &amp; Dohme </w:t>
      </w:r>
      <w:proofErr w:type="spellStart"/>
      <w:r>
        <w:rPr>
          <w:rFonts w:eastAsia="Times New Roman"/>
        </w:rPr>
        <w:t>Ges.m.b.H</w:t>
      </w:r>
      <w:proofErr w:type="spellEnd"/>
      <w:r>
        <w:rPr>
          <w:rFonts w:eastAsia="Times New Roman"/>
        </w:rPr>
        <w:t>. Tel: +43 (0) 1 26 044 msd-medizin@merck.com</w:t>
      </w:r>
    </w:p>
    <w:p w14:paraId="08451536" w14:textId="77777777" w:rsidR="00A55746" w:rsidRDefault="00A55746" w:rsidP="00A55746">
      <w:pPr>
        <w:spacing w:line="209" w:lineRule="exact"/>
        <w:rPr>
          <w:sz w:val="20"/>
          <w:szCs w:val="20"/>
        </w:rPr>
      </w:pPr>
    </w:p>
    <w:p w14:paraId="5D4B7F6C" w14:textId="77777777" w:rsidR="00A55746" w:rsidRDefault="00A55746" w:rsidP="00A55746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Polska</w:t>
      </w:r>
      <w:proofErr w:type="spellEnd"/>
    </w:p>
    <w:p w14:paraId="34644507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05B8DB83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</w:rPr>
        <w:t xml:space="preserve">MSD </w:t>
      </w:r>
      <w:proofErr w:type="spellStart"/>
      <w:r>
        <w:rPr>
          <w:rFonts w:eastAsia="Times New Roman"/>
        </w:rPr>
        <w:t>Polska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Sp.z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o.o</w:t>
      </w:r>
      <w:proofErr w:type="spellEnd"/>
      <w:r>
        <w:rPr>
          <w:rFonts w:eastAsia="Times New Roman"/>
        </w:rPr>
        <w:t>.</w:t>
      </w:r>
    </w:p>
    <w:p w14:paraId="1FC9EC63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207E437F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</w:rPr>
        <w:t>Tel.: +48 22 549 51 00</w:t>
      </w:r>
    </w:p>
    <w:p w14:paraId="26F01516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6365BE70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</w:rPr>
        <w:t>msdpolska@merck.com</w:t>
      </w:r>
    </w:p>
    <w:p w14:paraId="5147B989" w14:textId="77777777" w:rsidR="00A55746" w:rsidRDefault="00A55746" w:rsidP="00A55746">
      <w:pPr>
        <w:spacing w:line="264" w:lineRule="exact"/>
        <w:rPr>
          <w:sz w:val="20"/>
          <w:szCs w:val="20"/>
        </w:rPr>
      </w:pPr>
    </w:p>
    <w:p w14:paraId="47A5975C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  <w:b/>
          <w:bCs/>
        </w:rPr>
        <w:t>Portugal</w:t>
      </w:r>
    </w:p>
    <w:p w14:paraId="36AC6F0D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102D1C45" w14:textId="77777777" w:rsidR="00A55746" w:rsidRDefault="00A55746" w:rsidP="00A55746">
      <w:pPr>
        <w:spacing w:line="262" w:lineRule="auto"/>
        <w:ind w:right="1900"/>
        <w:rPr>
          <w:sz w:val="20"/>
          <w:szCs w:val="20"/>
        </w:rPr>
      </w:pPr>
      <w:r>
        <w:rPr>
          <w:rFonts w:eastAsia="Times New Roman"/>
        </w:rPr>
        <w:t xml:space="preserve">Merck Sharp &amp; Dohme, </w:t>
      </w:r>
      <w:proofErr w:type="spellStart"/>
      <w:r>
        <w:rPr>
          <w:rFonts w:eastAsia="Times New Roman"/>
        </w:rPr>
        <w:t>Lda</w:t>
      </w:r>
      <w:proofErr w:type="spellEnd"/>
      <w:r>
        <w:rPr>
          <w:rFonts w:eastAsia="Times New Roman"/>
        </w:rPr>
        <w:t xml:space="preserve"> Tel: + 351 214465700 </w:t>
      </w:r>
      <w:r>
        <w:rPr>
          <w:rFonts w:eastAsia="Times New Roman"/>
          <w:color w:val="0000FF"/>
          <w:u w:val="single"/>
        </w:rPr>
        <w:t>inform_pt@merck.com</w:t>
      </w:r>
    </w:p>
    <w:p w14:paraId="2DA22EAD" w14:textId="77777777" w:rsidR="00A55746" w:rsidRDefault="00A55746" w:rsidP="00A55746">
      <w:pPr>
        <w:spacing w:line="208" w:lineRule="exact"/>
        <w:rPr>
          <w:sz w:val="20"/>
          <w:szCs w:val="20"/>
        </w:rPr>
      </w:pPr>
    </w:p>
    <w:p w14:paraId="41E571BF" w14:textId="77777777" w:rsidR="00A55746" w:rsidRDefault="00A55746" w:rsidP="00A55746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România</w:t>
      </w:r>
      <w:proofErr w:type="spellEnd"/>
    </w:p>
    <w:p w14:paraId="1A49907E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1338FF07" w14:textId="77777777" w:rsidR="00A55746" w:rsidRDefault="00A55746" w:rsidP="00A55746">
      <w:pPr>
        <w:spacing w:line="262" w:lineRule="auto"/>
        <w:ind w:right="880"/>
        <w:rPr>
          <w:sz w:val="20"/>
          <w:szCs w:val="20"/>
        </w:rPr>
      </w:pPr>
      <w:r>
        <w:rPr>
          <w:rFonts w:eastAsia="Times New Roman"/>
        </w:rPr>
        <w:t>Merck Sharp &amp; Dohme Romania S.R.L. Tel: + 40 21 529 29 00 msdromania@merck.com</w:t>
      </w:r>
    </w:p>
    <w:p w14:paraId="0C9C6D70" w14:textId="77777777" w:rsidR="00A55746" w:rsidRDefault="00A55746" w:rsidP="00A55746">
      <w:pPr>
        <w:spacing w:line="209" w:lineRule="exact"/>
        <w:rPr>
          <w:sz w:val="20"/>
          <w:szCs w:val="20"/>
        </w:rPr>
      </w:pPr>
    </w:p>
    <w:p w14:paraId="681F1683" w14:textId="77777777" w:rsidR="00A55746" w:rsidRDefault="00A55746" w:rsidP="00A55746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Slovenija</w:t>
      </w:r>
      <w:proofErr w:type="spellEnd"/>
    </w:p>
    <w:p w14:paraId="0BAF7B9B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66259EE1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Merck Sharp &amp; Dohme, </w:t>
      </w:r>
      <w:proofErr w:type="spellStart"/>
      <w:r>
        <w:rPr>
          <w:rFonts w:eastAsia="Times New Roman"/>
          <w:sz w:val="21"/>
          <w:szCs w:val="21"/>
        </w:rPr>
        <w:t>inovativna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zdravila</w:t>
      </w:r>
      <w:proofErr w:type="spellEnd"/>
      <w:r>
        <w:rPr>
          <w:rFonts w:eastAsia="Times New Roman"/>
          <w:sz w:val="21"/>
          <w:szCs w:val="21"/>
        </w:rPr>
        <w:t xml:space="preserve"> d.o.o.</w:t>
      </w:r>
    </w:p>
    <w:p w14:paraId="4C4D1912" w14:textId="77777777" w:rsidR="00A55746" w:rsidRDefault="00A55746" w:rsidP="00A55746">
      <w:pPr>
        <w:spacing w:line="19" w:lineRule="exact"/>
        <w:rPr>
          <w:sz w:val="20"/>
          <w:szCs w:val="20"/>
        </w:rPr>
      </w:pPr>
    </w:p>
    <w:p w14:paraId="44C7A0A1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</w:rPr>
        <w:t>Tel: + 386 1 5204201</w:t>
      </w:r>
    </w:p>
    <w:p w14:paraId="396A1934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3655BC21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</w:rPr>
        <w:t>msd_slovenia@merck.com</w:t>
      </w:r>
    </w:p>
    <w:p w14:paraId="121F0878" w14:textId="77777777" w:rsidR="00A55746" w:rsidRDefault="00A55746" w:rsidP="00A55746">
      <w:pPr>
        <w:spacing w:line="200" w:lineRule="exact"/>
        <w:rPr>
          <w:sz w:val="20"/>
          <w:szCs w:val="20"/>
        </w:rPr>
      </w:pPr>
    </w:p>
    <w:p w14:paraId="4B94AC33" w14:textId="77777777" w:rsidR="00A55746" w:rsidRDefault="00A55746" w:rsidP="00A55746">
      <w:pPr>
        <w:spacing w:line="325" w:lineRule="exact"/>
        <w:rPr>
          <w:sz w:val="20"/>
          <w:szCs w:val="20"/>
        </w:rPr>
      </w:pPr>
    </w:p>
    <w:p w14:paraId="219EFABE" w14:textId="77777777" w:rsidR="00A55746" w:rsidRDefault="00A55746" w:rsidP="00A55746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Slovenská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6B06192C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64009821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</w:rPr>
        <w:t>Merck Sharp &amp; Dohme, s. r. o.</w:t>
      </w:r>
    </w:p>
    <w:p w14:paraId="05D9209B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75C47C06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</w:rPr>
        <w:t>Tel: + 421 2 58282010</w:t>
      </w:r>
    </w:p>
    <w:p w14:paraId="0DD6E858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089C3CAF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</w:rPr>
        <w:t>dpoc_czechslovak@merck.com</w:t>
      </w:r>
    </w:p>
    <w:p w14:paraId="6CD0A857" w14:textId="77777777" w:rsidR="00A55746" w:rsidRDefault="00A55746" w:rsidP="00A55746">
      <w:pPr>
        <w:spacing w:line="264" w:lineRule="exact"/>
        <w:rPr>
          <w:sz w:val="20"/>
          <w:szCs w:val="20"/>
        </w:rPr>
      </w:pPr>
    </w:p>
    <w:p w14:paraId="1BD6F63D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  <w:b/>
          <w:bCs/>
        </w:rPr>
        <w:t>Suomi/Finland</w:t>
      </w:r>
    </w:p>
    <w:p w14:paraId="20B1338A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49130382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</w:rPr>
        <w:t>MSD Finland Oy</w:t>
      </w:r>
    </w:p>
    <w:p w14:paraId="797A6BEA" w14:textId="77777777" w:rsidR="00A55746" w:rsidRDefault="00A55746" w:rsidP="00A55746">
      <w:pPr>
        <w:spacing w:line="7" w:lineRule="exact"/>
        <w:rPr>
          <w:sz w:val="20"/>
          <w:szCs w:val="20"/>
        </w:rPr>
      </w:pPr>
    </w:p>
    <w:p w14:paraId="688ADA1B" w14:textId="77777777" w:rsidR="00A55746" w:rsidRDefault="00A55746" w:rsidP="00A55746">
      <w:pPr>
        <w:spacing w:line="278" w:lineRule="auto"/>
        <w:ind w:right="1960"/>
        <w:rPr>
          <w:sz w:val="20"/>
          <w:szCs w:val="20"/>
        </w:rPr>
      </w:pPr>
      <w:r>
        <w:rPr>
          <w:rFonts w:eastAsia="Times New Roman"/>
        </w:rPr>
        <w:t>Puh/Tel: + 358 (0)9 804650 info@msd.fi</w:t>
      </w:r>
    </w:p>
    <w:p w14:paraId="31DE1F71" w14:textId="77777777" w:rsidR="00A55746" w:rsidRDefault="00A55746" w:rsidP="00A55746">
      <w:pPr>
        <w:spacing w:line="191" w:lineRule="exact"/>
        <w:rPr>
          <w:sz w:val="20"/>
          <w:szCs w:val="20"/>
        </w:rPr>
      </w:pPr>
    </w:p>
    <w:p w14:paraId="3168FF87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  <w:b/>
          <w:bCs/>
        </w:rPr>
        <w:t>Sverige</w:t>
      </w:r>
    </w:p>
    <w:p w14:paraId="241FB0D7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6ECFF6ED" w14:textId="77777777" w:rsidR="00A55746" w:rsidRDefault="00A55746" w:rsidP="00A55746">
      <w:pPr>
        <w:spacing w:line="262" w:lineRule="auto"/>
        <w:ind w:right="1100"/>
        <w:rPr>
          <w:sz w:val="20"/>
          <w:szCs w:val="20"/>
        </w:rPr>
      </w:pPr>
      <w:r>
        <w:rPr>
          <w:rFonts w:eastAsia="Times New Roman"/>
        </w:rPr>
        <w:t>Merck Sharp &amp; Dohme (Sweden) AB Tel: + 46 77 5700488 medicinskinfo@merck.com</w:t>
      </w:r>
    </w:p>
    <w:p w14:paraId="3B40E599" w14:textId="77777777" w:rsidR="00A55746" w:rsidRDefault="00A55746" w:rsidP="00A55746">
      <w:pPr>
        <w:spacing w:line="209" w:lineRule="exact"/>
        <w:rPr>
          <w:sz w:val="20"/>
          <w:szCs w:val="20"/>
        </w:rPr>
      </w:pPr>
    </w:p>
    <w:p w14:paraId="43B4F007" w14:textId="77777777" w:rsidR="00A55746" w:rsidRDefault="00A55746" w:rsidP="00A55746">
      <w:pPr>
        <w:rPr>
          <w:sz w:val="20"/>
          <w:szCs w:val="20"/>
        </w:rPr>
      </w:pPr>
      <w:r>
        <w:rPr>
          <w:rFonts w:eastAsia="Times New Roman"/>
          <w:b/>
          <w:bCs/>
        </w:rPr>
        <w:t>United Kingdom</w:t>
      </w:r>
    </w:p>
    <w:p w14:paraId="0F692765" w14:textId="77777777" w:rsidR="00A55746" w:rsidRDefault="00A55746" w:rsidP="00A55746">
      <w:pPr>
        <w:spacing w:line="11" w:lineRule="exact"/>
        <w:rPr>
          <w:sz w:val="20"/>
          <w:szCs w:val="20"/>
        </w:rPr>
      </w:pPr>
    </w:p>
    <w:p w14:paraId="501901EA" w14:textId="77777777" w:rsidR="00A55746" w:rsidRDefault="00A55746" w:rsidP="00A55746">
      <w:pPr>
        <w:spacing w:line="280" w:lineRule="auto"/>
        <w:ind w:right="1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Merck Sharp &amp; Dohme Limited Tel: +44 (0) 1992 467272 medicalinformationuk@merck.com</w:t>
      </w:r>
    </w:p>
    <w:p w14:paraId="6A6B5EFF" w14:textId="77777777" w:rsidR="00A55746" w:rsidRDefault="00A55746" w:rsidP="00A55746">
      <w:pPr>
        <w:spacing w:line="200" w:lineRule="exact"/>
        <w:rPr>
          <w:sz w:val="20"/>
          <w:szCs w:val="20"/>
        </w:rPr>
      </w:pPr>
    </w:p>
    <w:p w14:paraId="3428598B" w14:textId="77777777" w:rsidR="00A55746" w:rsidRDefault="00A55746" w:rsidP="00A55746">
      <w:pPr>
        <w:sectPr w:rsidR="00A55746">
          <w:pgSz w:w="11900" w:h="16840"/>
          <w:pgMar w:top="1119" w:right="1424" w:bottom="184" w:left="1380" w:header="0" w:footer="0" w:gutter="0"/>
          <w:cols w:num="2" w:space="720" w:equalWidth="0">
            <w:col w:w="4240" w:space="440"/>
            <w:col w:w="4420"/>
          </w:cols>
        </w:sectPr>
      </w:pPr>
    </w:p>
    <w:p w14:paraId="0AFFFB79" w14:textId="77777777" w:rsidR="00A55746" w:rsidRDefault="00A55746" w:rsidP="00A55746">
      <w:pPr>
        <w:spacing w:line="254" w:lineRule="exact"/>
        <w:rPr>
          <w:sz w:val="20"/>
          <w:szCs w:val="20"/>
        </w:rPr>
      </w:pPr>
    </w:p>
    <w:p w14:paraId="195EF97F" w14:textId="77777777" w:rsidR="00A55746" w:rsidRDefault="00A55746" w:rsidP="00A55746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  <w:r>
        <w:rPr>
          <w:rFonts w:eastAsia="Times New Roman"/>
          <w:b/>
          <w:bCs/>
        </w:rPr>
        <w:t xml:space="preserve"> MMMM-mm.</w:t>
      </w:r>
    </w:p>
    <w:p w14:paraId="6B963AE0" w14:textId="77777777" w:rsidR="00A55746" w:rsidRDefault="00A55746" w:rsidP="00A55746">
      <w:pPr>
        <w:spacing w:line="259" w:lineRule="exact"/>
        <w:rPr>
          <w:sz w:val="20"/>
          <w:szCs w:val="20"/>
        </w:rPr>
      </w:pPr>
    </w:p>
    <w:p w14:paraId="7D5D96FC" w14:textId="77777777" w:rsidR="00A55746" w:rsidRDefault="00A55746" w:rsidP="00A55746">
      <w:pPr>
        <w:spacing w:line="272" w:lineRule="auto"/>
        <w:ind w:left="40" w:right="1840"/>
        <w:rPr>
          <w:sz w:val="20"/>
          <w:szCs w:val="20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color w:val="0000FF"/>
          <w:u w:val="single"/>
        </w:rPr>
        <w:t>http://www.ema.europa.eu/</w:t>
      </w:r>
      <w:r>
        <w:rPr>
          <w:rFonts w:eastAsia="Times New Roman"/>
          <w:color w:val="000000"/>
        </w:rPr>
        <w:t>.</w:t>
      </w:r>
    </w:p>
    <w:p w14:paraId="6EF565FD" w14:textId="77777777" w:rsidR="009C3F7A" w:rsidRDefault="009C3F7A" w:rsidP="009C3F7A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0240E6DB" w14:textId="0EE522EC" w:rsidR="009C3F7A" w:rsidRDefault="009C3F7A" w:rsidP="009C3F7A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24F3C987" w14:textId="77777777" w:rsidR="00973E5E" w:rsidRDefault="00973E5E" w:rsidP="00973E5E">
      <w:pPr>
        <w:sectPr w:rsidR="00973E5E">
          <w:pgSz w:w="11900" w:h="16840"/>
          <w:pgMar w:top="1119" w:right="1440" w:bottom="184" w:left="1418" w:header="0" w:footer="0" w:gutter="0"/>
          <w:cols w:space="720" w:equalWidth="0">
            <w:col w:w="9046"/>
          </w:cols>
        </w:sectPr>
      </w:pPr>
    </w:p>
    <w:p w14:paraId="3786F851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4FF0FEB6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6B686A4D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1FC2F22D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14D178E6" w14:textId="77777777" w:rsidR="00973E5E" w:rsidRDefault="00973E5E" w:rsidP="00973E5E">
      <w:pPr>
        <w:spacing w:line="200" w:lineRule="exact"/>
        <w:rPr>
          <w:sz w:val="20"/>
          <w:szCs w:val="20"/>
        </w:rPr>
      </w:pPr>
    </w:p>
    <w:p w14:paraId="4317CD25" w14:textId="77777777" w:rsidR="00973E5E" w:rsidRDefault="00973E5E" w:rsidP="00973E5E">
      <w:pPr>
        <w:spacing w:line="290" w:lineRule="exact"/>
        <w:rPr>
          <w:sz w:val="20"/>
          <w:szCs w:val="20"/>
        </w:rPr>
      </w:pPr>
    </w:p>
    <w:p w14:paraId="0325EA20" w14:textId="77777777" w:rsidR="00973E5E" w:rsidRDefault="00973E5E" w:rsidP="00973E5E">
      <w:pPr>
        <w:ind w:right="6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37</w:t>
      </w:r>
    </w:p>
    <w:p w14:paraId="60936D65" w14:textId="77777777" w:rsidR="00973E5E" w:rsidRDefault="00973E5E" w:rsidP="00973E5E">
      <w:pPr>
        <w:sectPr w:rsidR="00973E5E">
          <w:type w:val="continuous"/>
          <w:pgSz w:w="11900" w:h="16840"/>
          <w:pgMar w:top="1119" w:right="1440" w:bottom="184" w:left="1418" w:header="0" w:footer="0" w:gutter="0"/>
          <w:cols w:space="720" w:equalWidth="0">
            <w:col w:w="9046"/>
          </w:cols>
        </w:sectPr>
      </w:pPr>
    </w:p>
    <w:p w14:paraId="1A046A0D" w14:textId="77777777" w:rsidR="00973E5E" w:rsidRDefault="00973E5E" w:rsidP="00973E5E">
      <w:pPr>
        <w:spacing w:line="268" w:lineRule="exact"/>
        <w:rPr>
          <w:sz w:val="20"/>
          <w:szCs w:val="20"/>
        </w:rPr>
      </w:pPr>
      <w:bookmarkStart w:id="7" w:name="page38"/>
      <w:bookmarkEnd w:id="7"/>
    </w:p>
    <w:sectPr w:rsidR="00973E5E" w:rsidSect="00F03004">
      <w:pgSz w:w="11900" w:h="16840"/>
      <w:pgMar w:top="1120" w:right="1440" w:bottom="184" w:left="1418" w:header="0" w:footer="0" w:gutter="0"/>
      <w:cols w:space="720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5E1B"/>
    <w:multiLevelType w:val="hybridMultilevel"/>
    <w:tmpl w:val="D38056AA"/>
    <w:lvl w:ilvl="0" w:tplc="47FC05A8">
      <w:start w:val="1"/>
      <w:numFmt w:val="bullet"/>
      <w:lvlText w:val="-"/>
      <w:lvlJc w:val="left"/>
    </w:lvl>
    <w:lvl w:ilvl="1" w:tplc="72EC2970">
      <w:numFmt w:val="decimal"/>
      <w:lvlText w:val=""/>
      <w:lvlJc w:val="left"/>
    </w:lvl>
    <w:lvl w:ilvl="2" w:tplc="FB628914">
      <w:numFmt w:val="decimal"/>
      <w:lvlText w:val=""/>
      <w:lvlJc w:val="left"/>
    </w:lvl>
    <w:lvl w:ilvl="3" w:tplc="6302B9B8">
      <w:numFmt w:val="decimal"/>
      <w:lvlText w:val=""/>
      <w:lvlJc w:val="left"/>
    </w:lvl>
    <w:lvl w:ilvl="4" w:tplc="7FECE6B8">
      <w:numFmt w:val="decimal"/>
      <w:lvlText w:val=""/>
      <w:lvlJc w:val="left"/>
    </w:lvl>
    <w:lvl w:ilvl="5" w:tplc="C276CDBC">
      <w:numFmt w:val="decimal"/>
      <w:lvlText w:val=""/>
      <w:lvlJc w:val="left"/>
    </w:lvl>
    <w:lvl w:ilvl="6" w:tplc="261C4B08">
      <w:numFmt w:val="decimal"/>
      <w:lvlText w:val=""/>
      <w:lvlJc w:val="left"/>
    </w:lvl>
    <w:lvl w:ilvl="7" w:tplc="D452C8A8">
      <w:numFmt w:val="decimal"/>
      <w:lvlText w:val=""/>
      <w:lvlJc w:val="left"/>
    </w:lvl>
    <w:lvl w:ilvl="8" w:tplc="5F2C7854">
      <w:numFmt w:val="decimal"/>
      <w:lvlText w:val=""/>
      <w:lvlJc w:val="left"/>
    </w:lvl>
  </w:abstractNum>
  <w:abstractNum w:abstractNumId="1" w15:restartNumberingAfterBreak="0">
    <w:nsid w:val="06A5EE64"/>
    <w:multiLevelType w:val="hybridMultilevel"/>
    <w:tmpl w:val="F98E51F8"/>
    <w:lvl w:ilvl="0" w:tplc="320444CE">
      <w:start w:val="1"/>
      <w:numFmt w:val="bullet"/>
      <w:lvlText w:val="-"/>
      <w:lvlJc w:val="left"/>
    </w:lvl>
    <w:lvl w:ilvl="1" w:tplc="11DA4C7C">
      <w:numFmt w:val="decimal"/>
      <w:lvlText w:val=""/>
      <w:lvlJc w:val="left"/>
    </w:lvl>
    <w:lvl w:ilvl="2" w:tplc="C702138A">
      <w:numFmt w:val="decimal"/>
      <w:lvlText w:val=""/>
      <w:lvlJc w:val="left"/>
    </w:lvl>
    <w:lvl w:ilvl="3" w:tplc="F7E24FDE">
      <w:numFmt w:val="decimal"/>
      <w:lvlText w:val=""/>
      <w:lvlJc w:val="left"/>
    </w:lvl>
    <w:lvl w:ilvl="4" w:tplc="7332A24A">
      <w:numFmt w:val="decimal"/>
      <w:lvlText w:val=""/>
      <w:lvlJc w:val="left"/>
    </w:lvl>
    <w:lvl w:ilvl="5" w:tplc="8F821A76">
      <w:numFmt w:val="decimal"/>
      <w:lvlText w:val=""/>
      <w:lvlJc w:val="left"/>
    </w:lvl>
    <w:lvl w:ilvl="6" w:tplc="8612EF18">
      <w:numFmt w:val="decimal"/>
      <w:lvlText w:val=""/>
      <w:lvlJc w:val="left"/>
    </w:lvl>
    <w:lvl w:ilvl="7" w:tplc="F5FE9DB4">
      <w:numFmt w:val="decimal"/>
      <w:lvlText w:val=""/>
      <w:lvlJc w:val="left"/>
    </w:lvl>
    <w:lvl w:ilvl="8" w:tplc="88DAAD92">
      <w:numFmt w:val="decimal"/>
      <w:lvlText w:val=""/>
      <w:lvlJc w:val="left"/>
    </w:lvl>
  </w:abstractNum>
  <w:abstractNum w:abstractNumId="2" w15:restartNumberingAfterBreak="0">
    <w:nsid w:val="06EB5BD4"/>
    <w:multiLevelType w:val="hybridMultilevel"/>
    <w:tmpl w:val="DA545C1C"/>
    <w:lvl w:ilvl="0" w:tplc="027EFEF0">
      <w:start w:val="1"/>
      <w:numFmt w:val="bullet"/>
      <w:lvlText w:val="-"/>
      <w:lvlJc w:val="left"/>
    </w:lvl>
    <w:lvl w:ilvl="1" w:tplc="C8806ECA">
      <w:numFmt w:val="decimal"/>
      <w:lvlText w:val=""/>
      <w:lvlJc w:val="left"/>
    </w:lvl>
    <w:lvl w:ilvl="2" w:tplc="D2CA415C">
      <w:numFmt w:val="decimal"/>
      <w:lvlText w:val=""/>
      <w:lvlJc w:val="left"/>
    </w:lvl>
    <w:lvl w:ilvl="3" w:tplc="D0A60ACA">
      <w:numFmt w:val="decimal"/>
      <w:lvlText w:val=""/>
      <w:lvlJc w:val="left"/>
    </w:lvl>
    <w:lvl w:ilvl="4" w:tplc="3B521F0E">
      <w:numFmt w:val="decimal"/>
      <w:lvlText w:val=""/>
      <w:lvlJc w:val="left"/>
    </w:lvl>
    <w:lvl w:ilvl="5" w:tplc="BE8A6548">
      <w:numFmt w:val="decimal"/>
      <w:lvlText w:val=""/>
      <w:lvlJc w:val="left"/>
    </w:lvl>
    <w:lvl w:ilvl="6" w:tplc="EA5C6D14">
      <w:numFmt w:val="decimal"/>
      <w:lvlText w:val=""/>
      <w:lvlJc w:val="left"/>
    </w:lvl>
    <w:lvl w:ilvl="7" w:tplc="1C82F678">
      <w:numFmt w:val="decimal"/>
      <w:lvlText w:val=""/>
      <w:lvlJc w:val="left"/>
    </w:lvl>
    <w:lvl w:ilvl="8" w:tplc="FA7C0362">
      <w:numFmt w:val="decimal"/>
      <w:lvlText w:val=""/>
      <w:lvlJc w:val="left"/>
    </w:lvl>
  </w:abstractNum>
  <w:abstractNum w:abstractNumId="3" w15:restartNumberingAfterBreak="0">
    <w:nsid w:val="094211F2"/>
    <w:multiLevelType w:val="hybridMultilevel"/>
    <w:tmpl w:val="9294B1D0"/>
    <w:lvl w:ilvl="0" w:tplc="FEEAEE0A">
      <w:start w:val="3"/>
      <w:numFmt w:val="decimal"/>
      <w:lvlText w:val="%1."/>
      <w:lvlJc w:val="left"/>
    </w:lvl>
    <w:lvl w:ilvl="1" w:tplc="BC382E7A">
      <w:numFmt w:val="decimal"/>
      <w:lvlText w:val=""/>
      <w:lvlJc w:val="left"/>
    </w:lvl>
    <w:lvl w:ilvl="2" w:tplc="7C2C3F80">
      <w:numFmt w:val="decimal"/>
      <w:lvlText w:val=""/>
      <w:lvlJc w:val="left"/>
    </w:lvl>
    <w:lvl w:ilvl="3" w:tplc="677A0FD4">
      <w:numFmt w:val="decimal"/>
      <w:lvlText w:val=""/>
      <w:lvlJc w:val="left"/>
    </w:lvl>
    <w:lvl w:ilvl="4" w:tplc="72F23198">
      <w:numFmt w:val="decimal"/>
      <w:lvlText w:val=""/>
      <w:lvlJc w:val="left"/>
    </w:lvl>
    <w:lvl w:ilvl="5" w:tplc="E3721BD2">
      <w:numFmt w:val="decimal"/>
      <w:lvlText w:val=""/>
      <w:lvlJc w:val="left"/>
    </w:lvl>
    <w:lvl w:ilvl="6" w:tplc="B164F978">
      <w:numFmt w:val="decimal"/>
      <w:lvlText w:val=""/>
      <w:lvlJc w:val="left"/>
    </w:lvl>
    <w:lvl w:ilvl="7" w:tplc="FE5844FC">
      <w:numFmt w:val="decimal"/>
      <w:lvlText w:val=""/>
      <w:lvlJc w:val="left"/>
    </w:lvl>
    <w:lvl w:ilvl="8" w:tplc="D29A10C0">
      <w:numFmt w:val="decimal"/>
      <w:lvlText w:val=""/>
      <w:lvlJc w:val="left"/>
    </w:lvl>
  </w:abstractNum>
  <w:abstractNum w:abstractNumId="4" w15:restartNumberingAfterBreak="0">
    <w:nsid w:val="100F59DC"/>
    <w:multiLevelType w:val="hybridMultilevel"/>
    <w:tmpl w:val="C714F804"/>
    <w:lvl w:ilvl="0" w:tplc="5A38A5D2">
      <w:start w:val="1"/>
      <w:numFmt w:val="bullet"/>
      <w:lvlText w:val="-"/>
      <w:lvlJc w:val="left"/>
    </w:lvl>
    <w:lvl w:ilvl="1" w:tplc="15D63A4E">
      <w:numFmt w:val="decimal"/>
      <w:lvlText w:val=""/>
      <w:lvlJc w:val="left"/>
    </w:lvl>
    <w:lvl w:ilvl="2" w:tplc="4C14203E">
      <w:numFmt w:val="decimal"/>
      <w:lvlText w:val=""/>
      <w:lvlJc w:val="left"/>
    </w:lvl>
    <w:lvl w:ilvl="3" w:tplc="308E1C28">
      <w:numFmt w:val="decimal"/>
      <w:lvlText w:val=""/>
      <w:lvlJc w:val="left"/>
    </w:lvl>
    <w:lvl w:ilvl="4" w:tplc="A4C00B64">
      <w:numFmt w:val="decimal"/>
      <w:lvlText w:val=""/>
      <w:lvlJc w:val="left"/>
    </w:lvl>
    <w:lvl w:ilvl="5" w:tplc="450AEDAE">
      <w:numFmt w:val="decimal"/>
      <w:lvlText w:val=""/>
      <w:lvlJc w:val="left"/>
    </w:lvl>
    <w:lvl w:ilvl="6" w:tplc="DE16742E">
      <w:numFmt w:val="decimal"/>
      <w:lvlText w:val=""/>
      <w:lvlJc w:val="left"/>
    </w:lvl>
    <w:lvl w:ilvl="7" w:tplc="7EACF8E8">
      <w:numFmt w:val="decimal"/>
      <w:lvlText w:val=""/>
      <w:lvlJc w:val="left"/>
    </w:lvl>
    <w:lvl w:ilvl="8" w:tplc="8D848D28">
      <w:numFmt w:val="decimal"/>
      <w:lvlText w:val=""/>
      <w:lvlJc w:val="left"/>
    </w:lvl>
  </w:abstractNum>
  <w:abstractNum w:abstractNumId="5" w15:restartNumberingAfterBreak="0">
    <w:nsid w:val="14330624"/>
    <w:multiLevelType w:val="hybridMultilevel"/>
    <w:tmpl w:val="3E56CBC0"/>
    <w:lvl w:ilvl="0" w:tplc="114AB270">
      <w:start w:val="1"/>
      <w:numFmt w:val="decimal"/>
      <w:lvlText w:val="%1."/>
      <w:lvlJc w:val="left"/>
    </w:lvl>
    <w:lvl w:ilvl="1" w:tplc="29B8FE22">
      <w:start w:val="1"/>
      <w:numFmt w:val="decimal"/>
      <w:lvlText w:val="%2"/>
      <w:lvlJc w:val="left"/>
    </w:lvl>
    <w:lvl w:ilvl="2" w:tplc="F12477B8">
      <w:numFmt w:val="decimal"/>
      <w:lvlText w:val=""/>
      <w:lvlJc w:val="left"/>
    </w:lvl>
    <w:lvl w:ilvl="3" w:tplc="4656AE90">
      <w:numFmt w:val="decimal"/>
      <w:lvlText w:val=""/>
      <w:lvlJc w:val="left"/>
    </w:lvl>
    <w:lvl w:ilvl="4" w:tplc="715E7BCC">
      <w:numFmt w:val="decimal"/>
      <w:lvlText w:val=""/>
      <w:lvlJc w:val="left"/>
    </w:lvl>
    <w:lvl w:ilvl="5" w:tplc="E24058C8">
      <w:numFmt w:val="decimal"/>
      <w:lvlText w:val=""/>
      <w:lvlJc w:val="left"/>
    </w:lvl>
    <w:lvl w:ilvl="6" w:tplc="6F96336E">
      <w:numFmt w:val="decimal"/>
      <w:lvlText w:val=""/>
      <w:lvlJc w:val="left"/>
    </w:lvl>
    <w:lvl w:ilvl="7" w:tplc="50B820C6">
      <w:numFmt w:val="decimal"/>
      <w:lvlText w:val=""/>
      <w:lvlJc w:val="left"/>
    </w:lvl>
    <w:lvl w:ilvl="8" w:tplc="C99E3B16">
      <w:numFmt w:val="decimal"/>
      <w:lvlText w:val=""/>
      <w:lvlJc w:val="left"/>
    </w:lvl>
  </w:abstractNum>
  <w:abstractNum w:abstractNumId="6" w15:restartNumberingAfterBreak="0">
    <w:nsid w:val="14E17E33"/>
    <w:multiLevelType w:val="hybridMultilevel"/>
    <w:tmpl w:val="DC7C0540"/>
    <w:lvl w:ilvl="0" w:tplc="B38A5D46">
      <w:start w:val="1"/>
      <w:numFmt w:val="bullet"/>
      <w:lvlText w:val="-"/>
      <w:lvlJc w:val="left"/>
    </w:lvl>
    <w:lvl w:ilvl="1" w:tplc="D49CE6EC">
      <w:numFmt w:val="decimal"/>
      <w:lvlText w:val=""/>
      <w:lvlJc w:val="left"/>
    </w:lvl>
    <w:lvl w:ilvl="2" w:tplc="8D8256D4">
      <w:numFmt w:val="decimal"/>
      <w:lvlText w:val=""/>
      <w:lvlJc w:val="left"/>
    </w:lvl>
    <w:lvl w:ilvl="3" w:tplc="69764F30">
      <w:numFmt w:val="decimal"/>
      <w:lvlText w:val=""/>
      <w:lvlJc w:val="left"/>
    </w:lvl>
    <w:lvl w:ilvl="4" w:tplc="7842F9E2">
      <w:numFmt w:val="decimal"/>
      <w:lvlText w:val=""/>
      <w:lvlJc w:val="left"/>
    </w:lvl>
    <w:lvl w:ilvl="5" w:tplc="EF702D16">
      <w:numFmt w:val="decimal"/>
      <w:lvlText w:val=""/>
      <w:lvlJc w:val="left"/>
    </w:lvl>
    <w:lvl w:ilvl="6" w:tplc="F2DEB8E8">
      <w:numFmt w:val="decimal"/>
      <w:lvlText w:val=""/>
      <w:lvlJc w:val="left"/>
    </w:lvl>
    <w:lvl w:ilvl="7" w:tplc="20524B20">
      <w:numFmt w:val="decimal"/>
      <w:lvlText w:val=""/>
      <w:lvlJc w:val="left"/>
    </w:lvl>
    <w:lvl w:ilvl="8" w:tplc="95F41A92">
      <w:numFmt w:val="decimal"/>
      <w:lvlText w:val=""/>
      <w:lvlJc w:val="left"/>
    </w:lvl>
  </w:abstractNum>
  <w:abstractNum w:abstractNumId="7" w15:restartNumberingAfterBreak="0">
    <w:nsid w:val="2DF6D648"/>
    <w:multiLevelType w:val="hybridMultilevel"/>
    <w:tmpl w:val="88F815D8"/>
    <w:lvl w:ilvl="0" w:tplc="5B2281EC">
      <w:start w:val="1"/>
      <w:numFmt w:val="bullet"/>
      <w:lvlText w:val="-"/>
      <w:lvlJc w:val="left"/>
    </w:lvl>
    <w:lvl w:ilvl="1" w:tplc="A710BF7E">
      <w:numFmt w:val="decimal"/>
      <w:lvlText w:val=""/>
      <w:lvlJc w:val="left"/>
    </w:lvl>
    <w:lvl w:ilvl="2" w:tplc="C8E0F388">
      <w:numFmt w:val="decimal"/>
      <w:lvlText w:val=""/>
      <w:lvlJc w:val="left"/>
    </w:lvl>
    <w:lvl w:ilvl="3" w:tplc="429E02DC">
      <w:numFmt w:val="decimal"/>
      <w:lvlText w:val=""/>
      <w:lvlJc w:val="left"/>
    </w:lvl>
    <w:lvl w:ilvl="4" w:tplc="177C796C">
      <w:numFmt w:val="decimal"/>
      <w:lvlText w:val=""/>
      <w:lvlJc w:val="left"/>
    </w:lvl>
    <w:lvl w:ilvl="5" w:tplc="B5DAFF80">
      <w:numFmt w:val="decimal"/>
      <w:lvlText w:val=""/>
      <w:lvlJc w:val="left"/>
    </w:lvl>
    <w:lvl w:ilvl="6" w:tplc="5F64F99C">
      <w:numFmt w:val="decimal"/>
      <w:lvlText w:val=""/>
      <w:lvlJc w:val="left"/>
    </w:lvl>
    <w:lvl w:ilvl="7" w:tplc="8436995A">
      <w:numFmt w:val="decimal"/>
      <w:lvlText w:val=""/>
      <w:lvlJc w:val="left"/>
    </w:lvl>
    <w:lvl w:ilvl="8" w:tplc="AD4E263A">
      <w:numFmt w:val="decimal"/>
      <w:lvlText w:val=""/>
      <w:lvlJc w:val="left"/>
    </w:lvl>
  </w:abstractNum>
  <w:abstractNum w:abstractNumId="8" w15:restartNumberingAfterBreak="0">
    <w:nsid w:val="3222E7CD"/>
    <w:multiLevelType w:val="hybridMultilevel"/>
    <w:tmpl w:val="A2F4F3B6"/>
    <w:lvl w:ilvl="0" w:tplc="3ABA72CA">
      <w:start w:val="1"/>
      <w:numFmt w:val="bullet"/>
      <w:lvlText w:val="-"/>
      <w:lvlJc w:val="left"/>
    </w:lvl>
    <w:lvl w:ilvl="1" w:tplc="15469530">
      <w:numFmt w:val="decimal"/>
      <w:lvlText w:val=""/>
      <w:lvlJc w:val="left"/>
    </w:lvl>
    <w:lvl w:ilvl="2" w:tplc="B81829AE">
      <w:numFmt w:val="decimal"/>
      <w:lvlText w:val=""/>
      <w:lvlJc w:val="left"/>
    </w:lvl>
    <w:lvl w:ilvl="3" w:tplc="60FC3D7C">
      <w:numFmt w:val="decimal"/>
      <w:lvlText w:val=""/>
      <w:lvlJc w:val="left"/>
    </w:lvl>
    <w:lvl w:ilvl="4" w:tplc="15A0ED44">
      <w:numFmt w:val="decimal"/>
      <w:lvlText w:val=""/>
      <w:lvlJc w:val="left"/>
    </w:lvl>
    <w:lvl w:ilvl="5" w:tplc="0388EC0E">
      <w:numFmt w:val="decimal"/>
      <w:lvlText w:val=""/>
      <w:lvlJc w:val="left"/>
    </w:lvl>
    <w:lvl w:ilvl="6" w:tplc="85A464DE">
      <w:numFmt w:val="decimal"/>
      <w:lvlText w:val=""/>
      <w:lvlJc w:val="left"/>
    </w:lvl>
    <w:lvl w:ilvl="7" w:tplc="1472C88C">
      <w:numFmt w:val="decimal"/>
      <w:lvlText w:val=""/>
      <w:lvlJc w:val="left"/>
    </w:lvl>
    <w:lvl w:ilvl="8" w:tplc="2D66FA7C">
      <w:numFmt w:val="decimal"/>
      <w:lvlText w:val=""/>
      <w:lvlJc w:val="left"/>
    </w:lvl>
  </w:abstractNum>
  <w:abstractNum w:abstractNumId="9" w15:restartNumberingAfterBreak="0">
    <w:nsid w:val="46B7D447"/>
    <w:multiLevelType w:val="hybridMultilevel"/>
    <w:tmpl w:val="E0C68BCC"/>
    <w:lvl w:ilvl="0" w:tplc="97A63ABC">
      <w:start w:val="1"/>
      <w:numFmt w:val="bullet"/>
      <w:lvlText w:val="-"/>
      <w:lvlJc w:val="left"/>
    </w:lvl>
    <w:lvl w:ilvl="1" w:tplc="A39C3F98">
      <w:numFmt w:val="decimal"/>
      <w:lvlText w:val=""/>
      <w:lvlJc w:val="left"/>
    </w:lvl>
    <w:lvl w:ilvl="2" w:tplc="35AEB3E0">
      <w:numFmt w:val="decimal"/>
      <w:lvlText w:val=""/>
      <w:lvlJc w:val="left"/>
    </w:lvl>
    <w:lvl w:ilvl="3" w:tplc="3DF2C466">
      <w:numFmt w:val="decimal"/>
      <w:lvlText w:val=""/>
      <w:lvlJc w:val="left"/>
    </w:lvl>
    <w:lvl w:ilvl="4" w:tplc="085C2C0A">
      <w:numFmt w:val="decimal"/>
      <w:lvlText w:val=""/>
      <w:lvlJc w:val="left"/>
    </w:lvl>
    <w:lvl w:ilvl="5" w:tplc="F43652A4">
      <w:numFmt w:val="decimal"/>
      <w:lvlText w:val=""/>
      <w:lvlJc w:val="left"/>
    </w:lvl>
    <w:lvl w:ilvl="6" w:tplc="EED64346">
      <w:numFmt w:val="decimal"/>
      <w:lvlText w:val=""/>
      <w:lvlJc w:val="left"/>
    </w:lvl>
    <w:lvl w:ilvl="7" w:tplc="401262F2">
      <w:numFmt w:val="decimal"/>
      <w:lvlText w:val=""/>
      <w:lvlJc w:val="left"/>
    </w:lvl>
    <w:lvl w:ilvl="8" w:tplc="3E9E9D64">
      <w:numFmt w:val="decimal"/>
      <w:lvlText w:val=""/>
      <w:lvlJc w:val="left"/>
    </w:lvl>
  </w:abstractNum>
  <w:abstractNum w:abstractNumId="10" w15:restartNumberingAfterBreak="0">
    <w:nsid w:val="4C04A8AF"/>
    <w:multiLevelType w:val="hybridMultilevel"/>
    <w:tmpl w:val="E540551A"/>
    <w:lvl w:ilvl="0" w:tplc="207C8634">
      <w:start w:val="4"/>
      <w:numFmt w:val="decimal"/>
      <w:lvlText w:val="%1."/>
      <w:lvlJc w:val="left"/>
    </w:lvl>
    <w:lvl w:ilvl="1" w:tplc="F6022EF6">
      <w:numFmt w:val="decimal"/>
      <w:lvlText w:val=""/>
      <w:lvlJc w:val="left"/>
    </w:lvl>
    <w:lvl w:ilvl="2" w:tplc="0770A998">
      <w:numFmt w:val="decimal"/>
      <w:lvlText w:val=""/>
      <w:lvlJc w:val="left"/>
    </w:lvl>
    <w:lvl w:ilvl="3" w:tplc="C63C9226">
      <w:numFmt w:val="decimal"/>
      <w:lvlText w:val=""/>
      <w:lvlJc w:val="left"/>
    </w:lvl>
    <w:lvl w:ilvl="4" w:tplc="4508C808">
      <w:numFmt w:val="decimal"/>
      <w:lvlText w:val=""/>
      <w:lvlJc w:val="left"/>
    </w:lvl>
    <w:lvl w:ilvl="5" w:tplc="98988F44">
      <w:numFmt w:val="decimal"/>
      <w:lvlText w:val=""/>
      <w:lvlJc w:val="left"/>
    </w:lvl>
    <w:lvl w:ilvl="6" w:tplc="B526F95E">
      <w:numFmt w:val="decimal"/>
      <w:lvlText w:val=""/>
      <w:lvlJc w:val="left"/>
    </w:lvl>
    <w:lvl w:ilvl="7" w:tplc="31AE4AB4">
      <w:numFmt w:val="decimal"/>
      <w:lvlText w:val=""/>
      <w:lvlJc w:val="left"/>
    </w:lvl>
    <w:lvl w:ilvl="8" w:tplc="2F1A621C">
      <w:numFmt w:val="decimal"/>
      <w:lvlText w:val=""/>
      <w:lvlJc w:val="left"/>
    </w:lvl>
  </w:abstractNum>
  <w:abstractNum w:abstractNumId="11" w15:restartNumberingAfterBreak="0">
    <w:nsid w:val="68EBC550"/>
    <w:multiLevelType w:val="hybridMultilevel"/>
    <w:tmpl w:val="CD828858"/>
    <w:lvl w:ilvl="0" w:tplc="31AAAC66">
      <w:start w:val="6"/>
      <w:numFmt w:val="decimal"/>
      <w:lvlText w:val="%1."/>
      <w:lvlJc w:val="left"/>
    </w:lvl>
    <w:lvl w:ilvl="1" w:tplc="72744530">
      <w:numFmt w:val="decimal"/>
      <w:lvlText w:val=""/>
      <w:lvlJc w:val="left"/>
    </w:lvl>
    <w:lvl w:ilvl="2" w:tplc="BE380946">
      <w:numFmt w:val="decimal"/>
      <w:lvlText w:val=""/>
      <w:lvlJc w:val="left"/>
    </w:lvl>
    <w:lvl w:ilvl="3" w:tplc="26C0E052">
      <w:numFmt w:val="decimal"/>
      <w:lvlText w:val=""/>
      <w:lvlJc w:val="left"/>
    </w:lvl>
    <w:lvl w:ilvl="4" w:tplc="48EAC84E">
      <w:numFmt w:val="decimal"/>
      <w:lvlText w:val=""/>
      <w:lvlJc w:val="left"/>
    </w:lvl>
    <w:lvl w:ilvl="5" w:tplc="DF1A9A08">
      <w:numFmt w:val="decimal"/>
      <w:lvlText w:val=""/>
      <w:lvlJc w:val="left"/>
    </w:lvl>
    <w:lvl w:ilvl="6" w:tplc="AC327982">
      <w:numFmt w:val="decimal"/>
      <w:lvlText w:val=""/>
      <w:lvlJc w:val="left"/>
    </w:lvl>
    <w:lvl w:ilvl="7" w:tplc="003A216E">
      <w:numFmt w:val="decimal"/>
      <w:lvlText w:val=""/>
      <w:lvlJc w:val="left"/>
    </w:lvl>
    <w:lvl w:ilvl="8" w:tplc="EA72CC76">
      <w:numFmt w:val="decimal"/>
      <w:lvlText w:val=""/>
      <w:lvlJc w:val="left"/>
    </w:lvl>
  </w:abstractNum>
  <w:abstractNum w:abstractNumId="12" w15:restartNumberingAfterBreak="0">
    <w:nsid w:val="6F6DD9AC"/>
    <w:multiLevelType w:val="hybridMultilevel"/>
    <w:tmpl w:val="0AC47E0A"/>
    <w:lvl w:ilvl="0" w:tplc="B3BCD546">
      <w:start w:val="1"/>
      <w:numFmt w:val="bullet"/>
      <w:lvlText w:val="-"/>
      <w:lvlJc w:val="left"/>
    </w:lvl>
    <w:lvl w:ilvl="1" w:tplc="9C18EF6A">
      <w:numFmt w:val="decimal"/>
      <w:lvlText w:val=""/>
      <w:lvlJc w:val="left"/>
    </w:lvl>
    <w:lvl w:ilvl="2" w:tplc="69BE35A6">
      <w:numFmt w:val="decimal"/>
      <w:lvlText w:val=""/>
      <w:lvlJc w:val="left"/>
    </w:lvl>
    <w:lvl w:ilvl="3" w:tplc="ABC2BD2C">
      <w:numFmt w:val="decimal"/>
      <w:lvlText w:val=""/>
      <w:lvlJc w:val="left"/>
    </w:lvl>
    <w:lvl w:ilvl="4" w:tplc="AFEC79A8">
      <w:numFmt w:val="decimal"/>
      <w:lvlText w:val=""/>
      <w:lvlJc w:val="left"/>
    </w:lvl>
    <w:lvl w:ilvl="5" w:tplc="7F2AEDE2">
      <w:numFmt w:val="decimal"/>
      <w:lvlText w:val=""/>
      <w:lvlJc w:val="left"/>
    </w:lvl>
    <w:lvl w:ilvl="6" w:tplc="7AC8BC44">
      <w:numFmt w:val="decimal"/>
      <w:lvlText w:val=""/>
      <w:lvlJc w:val="left"/>
    </w:lvl>
    <w:lvl w:ilvl="7" w:tplc="00B8121E">
      <w:numFmt w:val="decimal"/>
      <w:lvlText w:val=""/>
      <w:lvlJc w:val="left"/>
    </w:lvl>
    <w:lvl w:ilvl="8" w:tplc="51721A62">
      <w:numFmt w:val="decimal"/>
      <w:lvlText w:val=""/>
      <w:lvlJc w:val="left"/>
    </w:lvl>
  </w:abstractNum>
  <w:abstractNum w:abstractNumId="13" w15:restartNumberingAfterBreak="0">
    <w:nsid w:val="71EA1109"/>
    <w:multiLevelType w:val="hybridMultilevel"/>
    <w:tmpl w:val="AB186A3C"/>
    <w:lvl w:ilvl="0" w:tplc="13B8FEB6">
      <w:start w:val="2"/>
      <w:numFmt w:val="decimal"/>
      <w:lvlText w:val="%1."/>
      <w:lvlJc w:val="left"/>
    </w:lvl>
    <w:lvl w:ilvl="1" w:tplc="5ABE836A">
      <w:numFmt w:val="decimal"/>
      <w:lvlText w:val=""/>
      <w:lvlJc w:val="left"/>
    </w:lvl>
    <w:lvl w:ilvl="2" w:tplc="DE645850">
      <w:numFmt w:val="decimal"/>
      <w:lvlText w:val=""/>
      <w:lvlJc w:val="left"/>
    </w:lvl>
    <w:lvl w:ilvl="3" w:tplc="594655E6">
      <w:numFmt w:val="decimal"/>
      <w:lvlText w:val=""/>
      <w:lvlJc w:val="left"/>
    </w:lvl>
    <w:lvl w:ilvl="4" w:tplc="CBE0D940">
      <w:numFmt w:val="decimal"/>
      <w:lvlText w:val=""/>
      <w:lvlJc w:val="left"/>
    </w:lvl>
    <w:lvl w:ilvl="5" w:tplc="0A08303A">
      <w:numFmt w:val="decimal"/>
      <w:lvlText w:val=""/>
      <w:lvlJc w:val="left"/>
    </w:lvl>
    <w:lvl w:ilvl="6" w:tplc="71682FA4">
      <w:numFmt w:val="decimal"/>
      <w:lvlText w:val=""/>
      <w:lvlJc w:val="left"/>
    </w:lvl>
    <w:lvl w:ilvl="7" w:tplc="346EDFC4">
      <w:numFmt w:val="decimal"/>
      <w:lvlText w:val=""/>
      <w:lvlJc w:val="left"/>
    </w:lvl>
    <w:lvl w:ilvl="8" w:tplc="1AC0B204">
      <w:numFmt w:val="decimal"/>
      <w:lvlText w:val=""/>
      <w:lvlJc w:val="left"/>
    </w:lvl>
  </w:abstractNum>
  <w:abstractNum w:abstractNumId="14" w15:restartNumberingAfterBreak="0">
    <w:nsid w:val="74DE0EE3"/>
    <w:multiLevelType w:val="hybridMultilevel"/>
    <w:tmpl w:val="092E7F34"/>
    <w:lvl w:ilvl="0" w:tplc="5B1A901C">
      <w:start w:val="5"/>
      <w:numFmt w:val="decimal"/>
      <w:lvlText w:val="%1."/>
      <w:lvlJc w:val="left"/>
    </w:lvl>
    <w:lvl w:ilvl="1" w:tplc="F446A9EA">
      <w:numFmt w:val="decimal"/>
      <w:lvlText w:val=""/>
      <w:lvlJc w:val="left"/>
    </w:lvl>
    <w:lvl w:ilvl="2" w:tplc="1E74C4D6">
      <w:numFmt w:val="decimal"/>
      <w:lvlText w:val=""/>
      <w:lvlJc w:val="left"/>
    </w:lvl>
    <w:lvl w:ilvl="3" w:tplc="E3F614B4">
      <w:numFmt w:val="decimal"/>
      <w:lvlText w:val=""/>
      <w:lvlJc w:val="left"/>
    </w:lvl>
    <w:lvl w:ilvl="4" w:tplc="B992CABC">
      <w:numFmt w:val="decimal"/>
      <w:lvlText w:val=""/>
      <w:lvlJc w:val="left"/>
    </w:lvl>
    <w:lvl w:ilvl="5" w:tplc="17CA1674">
      <w:numFmt w:val="decimal"/>
      <w:lvlText w:val=""/>
      <w:lvlJc w:val="left"/>
    </w:lvl>
    <w:lvl w:ilvl="6" w:tplc="A1BC1B36">
      <w:numFmt w:val="decimal"/>
      <w:lvlText w:val=""/>
      <w:lvlJc w:val="left"/>
    </w:lvl>
    <w:lvl w:ilvl="7" w:tplc="35E61146">
      <w:numFmt w:val="decimal"/>
      <w:lvlText w:val=""/>
      <w:lvlJc w:val="left"/>
    </w:lvl>
    <w:lvl w:ilvl="8" w:tplc="1652C25C">
      <w:numFmt w:val="decimal"/>
      <w:lvlText w:val=""/>
      <w:lvlJc w:val="left"/>
    </w:lvl>
  </w:abstractNum>
  <w:abstractNum w:abstractNumId="15" w15:restartNumberingAfterBreak="0">
    <w:nsid w:val="76272110"/>
    <w:multiLevelType w:val="hybridMultilevel"/>
    <w:tmpl w:val="A3C8C6FC"/>
    <w:lvl w:ilvl="0" w:tplc="3E3878F2">
      <w:start w:val="1"/>
      <w:numFmt w:val="bullet"/>
      <w:lvlText w:val="-"/>
      <w:lvlJc w:val="left"/>
    </w:lvl>
    <w:lvl w:ilvl="1" w:tplc="5E2E933E">
      <w:numFmt w:val="decimal"/>
      <w:lvlText w:val=""/>
      <w:lvlJc w:val="left"/>
    </w:lvl>
    <w:lvl w:ilvl="2" w:tplc="2D104752">
      <w:numFmt w:val="decimal"/>
      <w:lvlText w:val=""/>
      <w:lvlJc w:val="left"/>
    </w:lvl>
    <w:lvl w:ilvl="3" w:tplc="837A787A">
      <w:numFmt w:val="decimal"/>
      <w:lvlText w:val=""/>
      <w:lvlJc w:val="left"/>
    </w:lvl>
    <w:lvl w:ilvl="4" w:tplc="7FF09114">
      <w:numFmt w:val="decimal"/>
      <w:lvlText w:val=""/>
      <w:lvlJc w:val="left"/>
    </w:lvl>
    <w:lvl w:ilvl="5" w:tplc="2E222938">
      <w:numFmt w:val="decimal"/>
      <w:lvlText w:val=""/>
      <w:lvlJc w:val="left"/>
    </w:lvl>
    <w:lvl w:ilvl="6" w:tplc="C8F28F5E">
      <w:numFmt w:val="decimal"/>
      <w:lvlText w:val=""/>
      <w:lvlJc w:val="left"/>
    </w:lvl>
    <w:lvl w:ilvl="7" w:tplc="6E5AD2BE">
      <w:numFmt w:val="decimal"/>
      <w:lvlText w:val=""/>
      <w:lvlJc w:val="left"/>
    </w:lvl>
    <w:lvl w:ilvl="8" w:tplc="47420A64">
      <w:numFmt w:val="decimal"/>
      <w:lvlText w:val=""/>
      <w:lvlJc w:val="left"/>
    </w:lvl>
  </w:abstractNum>
  <w:abstractNum w:abstractNumId="16" w15:restartNumberingAfterBreak="0">
    <w:nsid w:val="7FB7E0AA"/>
    <w:multiLevelType w:val="hybridMultilevel"/>
    <w:tmpl w:val="E1C61662"/>
    <w:lvl w:ilvl="0" w:tplc="16122F7E">
      <w:start w:val="1"/>
      <w:numFmt w:val="bullet"/>
      <w:lvlText w:val="-"/>
      <w:lvlJc w:val="left"/>
    </w:lvl>
    <w:lvl w:ilvl="1" w:tplc="4FDE540E">
      <w:numFmt w:val="decimal"/>
      <w:lvlText w:val=""/>
      <w:lvlJc w:val="left"/>
    </w:lvl>
    <w:lvl w:ilvl="2" w:tplc="19402412">
      <w:numFmt w:val="decimal"/>
      <w:lvlText w:val=""/>
      <w:lvlJc w:val="left"/>
    </w:lvl>
    <w:lvl w:ilvl="3" w:tplc="42541AD0">
      <w:numFmt w:val="decimal"/>
      <w:lvlText w:val=""/>
      <w:lvlJc w:val="left"/>
    </w:lvl>
    <w:lvl w:ilvl="4" w:tplc="27542222">
      <w:numFmt w:val="decimal"/>
      <w:lvlText w:val=""/>
      <w:lvlJc w:val="left"/>
    </w:lvl>
    <w:lvl w:ilvl="5" w:tplc="F30E1812">
      <w:numFmt w:val="decimal"/>
      <w:lvlText w:val=""/>
      <w:lvlJc w:val="left"/>
    </w:lvl>
    <w:lvl w:ilvl="6" w:tplc="E6947788">
      <w:numFmt w:val="decimal"/>
      <w:lvlText w:val=""/>
      <w:lvlJc w:val="left"/>
    </w:lvl>
    <w:lvl w:ilvl="7" w:tplc="1EE82A7C">
      <w:numFmt w:val="decimal"/>
      <w:lvlText w:val=""/>
      <w:lvlJc w:val="left"/>
    </w:lvl>
    <w:lvl w:ilvl="8" w:tplc="2EBAEBA6">
      <w:numFmt w:val="decimal"/>
      <w:lvlText w:val=""/>
      <w:lvlJc w:val="left"/>
    </w:lvl>
  </w:abstractNum>
  <w:abstractNum w:abstractNumId="17" w15:restartNumberingAfterBreak="0">
    <w:nsid w:val="7FFFCA11"/>
    <w:multiLevelType w:val="hybridMultilevel"/>
    <w:tmpl w:val="146025AC"/>
    <w:lvl w:ilvl="0" w:tplc="C478E408">
      <w:start w:val="1"/>
      <w:numFmt w:val="decimal"/>
      <w:lvlText w:val="%1."/>
      <w:lvlJc w:val="left"/>
    </w:lvl>
    <w:lvl w:ilvl="1" w:tplc="AE4E7246">
      <w:start w:val="1"/>
      <w:numFmt w:val="decimal"/>
      <w:lvlText w:val="%2"/>
      <w:lvlJc w:val="left"/>
    </w:lvl>
    <w:lvl w:ilvl="2" w:tplc="47947466">
      <w:numFmt w:val="decimal"/>
      <w:lvlText w:val=""/>
      <w:lvlJc w:val="left"/>
    </w:lvl>
    <w:lvl w:ilvl="3" w:tplc="F8D49F4A">
      <w:numFmt w:val="decimal"/>
      <w:lvlText w:val=""/>
      <w:lvlJc w:val="left"/>
    </w:lvl>
    <w:lvl w:ilvl="4" w:tplc="753E3D42">
      <w:numFmt w:val="decimal"/>
      <w:lvlText w:val=""/>
      <w:lvlJc w:val="left"/>
    </w:lvl>
    <w:lvl w:ilvl="5" w:tplc="61765DF8">
      <w:numFmt w:val="decimal"/>
      <w:lvlText w:val=""/>
      <w:lvlJc w:val="left"/>
    </w:lvl>
    <w:lvl w:ilvl="6" w:tplc="4560CD40">
      <w:numFmt w:val="decimal"/>
      <w:lvlText w:val=""/>
      <w:lvlJc w:val="left"/>
    </w:lvl>
    <w:lvl w:ilvl="7" w:tplc="B212EE5E">
      <w:numFmt w:val="decimal"/>
      <w:lvlText w:val=""/>
      <w:lvlJc w:val="left"/>
    </w:lvl>
    <w:lvl w:ilvl="8" w:tplc="3750635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3"/>
  </w:num>
  <w:num w:numId="5">
    <w:abstractNumId w:val="4"/>
  </w:num>
  <w:num w:numId="6">
    <w:abstractNumId w:val="16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1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21"/>
    <w:rsid w:val="00025F21"/>
    <w:rsid w:val="00914465"/>
    <w:rsid w:val="00973E5E"/>
    <w:rsid w:val="009C3F7A"/>
    <w:rsid w:val="00A36788"/>
    <w:rsid w:val="00A55746"/>
    <w:rsid w:val="00F0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EA09"/>
  <w15:chartTrackingRefBased/>
  <w15:docId w15:val="{9579AF33-8319-4EF1-90BD-83AA342E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E5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3072</Words>
  <Characters>17511</Characters>
  <Application>Microsoft Office Word</Application>
  <DocSecurity>0</DocSecurity>
  <Lines>145</Lines>
  <Paragraphs>41</Paragraphs>
  <ScaleCrop>false</ScaleCrop>
  <Company/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7</cp:revision>
  <dcterms:created xsi:type="dcterms:W3CDTF">2021-01-11T07:42:00Z</dcterms:created>
  <dcterms:modified xsi:type="dcterms:W3CDTF">2021-01-11T08:12:00Z</dcterms:modified>
</cp:coreProperties>
</file>