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1D55" w:rsidRPr="000045C3" w:rsidRDefault="00B41D55" w:rsidP="00B41D55">
      <w:pPr>
        <w:pStyle w:val="Revision"/>
        <w:jc w:val="center"/>
        <w:rPr>
          <w:b/>
          <w:sz w:val="22"/>
          <w:szCs w:val="22"/>
        </w:rPr>
      </w:pPr>
      <w:r w:rsidRPr="000045C3">
        <w:rPr>
          <w:b/>
          <w:sz w:val="22"/>
          <w:szCs w:val="22"/>
        </w:rPr>
        <w:t>Pakuotės lapelis: informacija vartotojui</w:t>
      </w:r>
    </w:p>
    <w:p w:rsidR="00B41D55" w:rsidRPr="000045C3" w:rsidRDefault="00B41D55" w:rsidP="00B41D55">
      <w:pPr>
        <w:pStyle w:val="Revision"/>
        <w:jc w:val="center"/>
        <w:rPr>
          <w:sz w:val="22"/>
          <w:szCs w:val="22"/>
        </w:rPr>
      </w:pPr>
    </w:p>
    <w:p w:rsidR="00B41D55" w:rsidRPr="000045C3" w:rsidRDefault="00B41D55" w:rsidP="00B41D55">
      <w:pPr>
        <w:pStyle w:val="Revision"/>
        <w:jc w:val="center"/>
        <w:rPr>
          <w:b/>
          <w:sz w:val="22"/>
          <w:szCs w:val="22"/>
        </w:rPr>
      </w:pPr>
      <w:r w:rsidRPr="000045C3">
        <w:rPr>
          <w:b/>
          <w:sz w:val="22"/>
          <w:szCs w:val="22"/>
        </w:rPr>
        <w:t>Hepa - Merz 5 g/10 ml koncentratas infuziniam tirpalui</w:t>
      </w:r>
    </w:p>
    <w:p w:rsidR="00B41D55" w:rsidRPr="000045C3" w:rsidRDefault="00B41D55" w:rsidP="00B41D55">
      <w:pPr>
        <w:pStyle w:val="Revision"/>
        <w:jc w:val="center"/>
        <w:rPr>
          <w:sz w:val="22"/>
          <w:szCs w:val="22"/>
        </w:rPr>
      </w:pPr>
      <w:r w:rsidRPr="000045C3">
        <w:rPr>
          <w:sz w:val="22"/>
          <w:szCs w:val="22"/>
        </w:rPr>
        <w:t>Ornitino aspartatas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Pr="000045C3" w:rsidRDefault="00B41D55" w:rsidP="00B41D55">
      <w:pPr>
        <w:pStyle w:val="BTbEMEASMCA"/>
        <w:rPr>
          <w:sz w:val="22"/>
          <w:szCs w:val="22"/>
        </w:rPr>
      </w:pPr>
      <w:r w:rsidRPr="000045C3">
        <w:rPr>
          <w:sz w:val="22"/>
          <w:szCs w:val="22"/>
        </w:rPr>
        <w:t>Atidžiai perskaitykite visą šį lapelį, prieš pradėdami vartoti vaistą, nes jame pateikiama Jums svarbi informacija.</w:t>
      </w:r>
    </w:p>
    <w:p w:rsidR="00B41D55" w:rsidRPr="000045C3" w:rsidRDefault="00B41D55" w:rsidP="00B41D55">
      <w:pPr>
        <w:ind w:left="567" w:hanging="567"/>
      </w:pPr>
      <w:r w:rsidRPr="000045C3">
        <w:t>-</w:t>
      </w:r>
      <w:r w:rsidRPr="000045C3">
        <w:tab/>
        <w:t>Neišmeskite šio lapelio, nes vėl gali prireikti jį perskaityti.</w:t>
      </w:r>
    </w:p>
    <w:p w:rsidR="00B41D55" w:rsidRPr="000045C3" w:rsidRDefault="00B41D55" w:rsidP="00B41D55">
      <w:pPr>
        <w:ind w:left="567" w:hanging="567"/>
      </w:pPr>
      <w:r w:rsidRPr="000045C3">
        <w:t>-</w:t>
      </w:r>
      <w:r w:rsidRPr="000045C3">
        <w:tab/>
        <w:t>Jeigu kiltų daugiau klausimų, kreipkitės į gydytoją arba vaistininką.</w:t>
      </w:r>
    </w:p>
    <w:p w:rsidR="00B41D55" w:rsidRPr="000045C3" w:rsidRDefault="00B41D55" w:rsidP="00B41D55">
      <w:pPr>
        <w:ind w:left="567" w:hanging="567"/>
      </w:pPr>
      <w:r w:rsidRPr="000045C3">
        <w:t>-</w:t>
      </w:r>
      <w:r w:rsidRPr="000045C3">
        <w:tab/>
        <w:t>Šis vaistas skirtas Jums, todėl kitiems žmonėms jo duoti negalima. Vaistas gali jiems pakenkti (net tiems, kurių ligos požymiai yra tokie patys kaip Jūsų).</w:t>
      </w:r>
    </w:p>
    <w:p w:rsidR="00B41D55" w:rsidRDefault="00B41D55" w:rsidP="00B41D55">
      <w:pPr>
        <w:ind w:left="567" w:hanging="567"/>
      </w:pPr>
      <w:r w:rsidRPr="000045C3">
        <w:t>-</w:t>
      </w:r>
      <w:r w:rsidRPr="000045C3">
        <w:tab/>
        <w:t>Jeigu pasireiškė šalutinis poveikis (net jeigu jis šiame lapelyje nenurodytas), kreipkitės į gydytoją arba vaistininką.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Pr="000045C3" w:rsidRDefault="00B41D55" w:rsidP="00B41D55">
      <w:pPr>
        <w:pStyle w:val="BTbEMEASMCA"/>
        <w:rPr>
          <w:sz w:val="22"/>
          <w:szCs w:val="22"/>
        </w:rPr>
      </w:pPr>
      <w:r w:rsidRPr="000045C3">
        <w:rPr>
          <w:sz w:val="22"/>
          <w:szCs w:val="22"/>
        </w:rPr>
        <w:t>Apie ką rašoma šiame lapelyje?</w:t>
      </w:r>
    </w:p>
    <w:p w:rsidR="00B41D55" w:rsidRPr="000045C3" w:rsidRDefault="00B41D55" w:rsidP="00B41D55">
      <w:pPr>
        <w:pStyle w:val="BTbEMEASMCA"/>
        <w:rPr>
          <w:sz w:val="22"/>
          <w:szCs w:val="22"/>
        </w:rPr>
      </w:pPr>
    </w:p>
    <w:p w:rsidR="00B41D55" w:rsidRPr="000045C3" w:rsidRDefault="00B41D55" w:rsidP="00B41D55">
      <w:pPr>
        <w:pStyle w:val="Revision"/>
        <w:ind w:left="567" w:hanging="567"/>
        <w:rPr>
          <w:sz w:val="22"/>
          <w:szCs w:val="22"/>
        </w:rPr>
      </w:pPr>
      <w:r w:rsidRPr="000045C3">
        <w:rPr>
          <w:sz w:val="22"/>
          <w:szCs w:val="22"/>
        </w:rPr>
        <w:t>1.</w:t>
      </w:r>
      <w:r w:rsidRPr="000045C3">
        <w:rPr>
          <w:sz w:val="22"/>
          <w:szCs w:val="22"/>
        </w:rPr>
        <w:tab/>
        <w:t>Kas yra Hepa-Merz ir kam jis vartojamas</w:t>
      </w:r>
    </w:p>
    <w:p w:rsidR="00B41D55" w:rsidRPr="000045C3" w:rsidRDefault="00B41D55" w:rsidP="00B41D55">
      <w:pPr>
        <w:pStyle w:val="Revision"/>
        <w:ind w:left="567" w:hanging="567"/>
        <w:rPr>
          <w:sz w:val="22"/>
          <w:szCs w:val="22"/>
        </w:rPr>
      </w:pPr>
      <w:r w:rsidRPr="000045C3">
        <w:rPr>
          <w:sz w:val="22"/>
          <w:szCs w:val="22"/>
        </w:rPr>
        <w:t>2.</w:t>
      </w:r>
      <w:r w:rsidRPr="000045C3">
        <w:rPr>
          <w:sz w:val="22"/>
          <w:szCs w:val="22"/>
        </w:rPr>
        <w:tab/>
        <w:t>Kas žinotina prieš vartojant Hepa-Merz</w:t>
      </w:r>
    </w:p>
    <w:p w:rsidR="00B41D55" w:rsidRPr="000045C3" w:rsidRDefault="00B41D55" w:rsidP="00B41D55">
      <w:pPr>
        <w:pStyle w:val="Revision"/>
        <w:ind w:left="567" w:hanging="567"/>
        <w:rPr>
          <w:sz w:val="22"/>
          <w:szCs w:val="22"/>
        </w:rPr>
      </w:pPr>
      <w:r w:rsidRPr="000045C3">
        <w:rPr>
          <w:sz w:val="22"/>
          <w:szCs w:val="22"/>
        </w:rPr>
        <w:t>3.</w:t>
      </w:r>
      <w:r w:rsidRPr="000045C3">
        <w:rPr>
          <w:sz w:val="22"/>
          <w:szCs w:val="22"/>
        </w:rPr>
        <w:tab/>
        <w:t>Kaip vartoti Hepa-Merz</w:t>
      </w:r>
    </w:p>
    <w:p w:rsidR="00B41D55" w:rsidRPr="000045C3" w:rsidRDefault="00B41D55" w:rsidP="00B41D55">
      <w:pPr>
        <w:pStyle w:val="Revision"/>
        <w:ind w:left="567" w:hanging="567"/>
        <w:rPr>
          <w:sz w:val="22"/>
          <w:szCs w:val="22"/>
        </w:rPr>
      </w:pPr>
      <w:r w:rsidRPr="000045C3">
        <w:rPr>
          <w:sz w:val="22"/>
          <w:szCs w:val="22"/>
        </w:rPr>
        <w:t>4.</w:t>
      </w:r>
      <w:r w:rsidRPr="000045C3">
        <w:rPr>
          <w:sz w:val="22"/>
          <w:szCs w:val="22"/>
        </w:rPr>
        <w:tab/>
        <w:t>Galimas šalutinis poveikis</w:t>
      </w:r>
    </w:p>
    <w:p w:rsidR="00B41D55" w:rsidRPr="000045C3" w:rsidRDefault="00B41D55" w:rsidP="00B41D55">
      <w:pPr>
        <w:pStyle w:val="Revision"/>
        <w:ind w:left="567" w:hanging="567"/>
        <w:rPr>
          <w:sz w:val="22"/>
          <w:szCs w:val="22"/>
        </w:rPr>
      </w:pPr>
      <w:r w:rsidRPr="000045C3">
        <w:rPr>
          <w:sz w:val="22"/>
          <w:szCs w:val="22"/>
        </w:rPr>
        <w:t>5.</w:t>
      </w:r>
      <w:r w:rsidRPr="000045C3">
        <w:rPr>
          <w:sz w:val="22"/>
          <w:szCs w:val="22"/>
        </w:rPr>
        <w:tab/>
        <w:t>Kaip laikyti Hepa-Merz</w:t>
      </w:r>
    </w:p>
    <w:p w:rsidR="00B41D55" w:rsidRPr="000045C3" w:rsidRDefault="00B41D55" w:rsidP="00B41D55">
      <w:pPr>
        <w:pStyle w:val="Revision"/>
        <w:ind w:left="567" w:hanging="567"/>
        <w:rPr>
          <w:sz w:val="22"/>
          <w:szCs w:val="22"/>
        </w:rPr>
      </w:pPr>
      <w:r w:rsidRPr="000045C3">
        <w:rPr>
          <w:sz w:val="22"/>
          <w:szCs w:val="22"/>
        </w:rPr>
        <w:t>6.</w:t>
      </w:r>
      <w:r w:rsidRPr="000045C3">
        <w:rPr>
          <w:sz w:val="22"/>
          <w:szCs w:val="22"/>
        </w:rPr>
        <w:tab/>
        <w:t>Pakuotės turinys ir kita informacija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Pr="000045C3" w:rsidRDefault="00B41D55" w:rsidP="00B41D55">
      <w:pPr>
        <w:pStyle w:val="PI-1EMEASMCA"/>
      </w:pPr>
      <w:bookmarkStart w:id="0" w:name="_Toc129243139"/>
      <w:bookmarkStart w:id="1" w:name="_Toc129243264"/>
      <w:r w:rsidRPr="000045C3">
        <w:t>1.</w:t>
      </w:r>
      <w:r w:rsidRPr="000045C3">
        <w:tab/>
        <w:t>Kas yra Hepa-Merz ir kam jis vartojamas</w:t>
      </w:r>
      <w:bookmarkEnd w:id="0"/>
      <w:bookmarkEnd w:id="1"/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Default="00B41D55" w:rsidP="00B41D55">
      <w:pPr>
        <w:pStyle w:val="Revision"/>
        <w:rPr>
          <w:sz w:val="22"/>
          <w:szCs w:val="22"/>
        </w:rPr>
      </w:pPr>
      <w:r w:rsidRPr="000045C3">
        <w:rPr>
          <w:sz w:val="22"/>
          <w:szCs w:val="22"/>
        </w:rPr>
        <w:t>Hepa-Merz yra vaistas, kuris didina šlapalo sintezę kepenyse ir skatina amoniako nukenksminimą. Taip pat jis skatina amoniako nukenksminimą ne tik kepenyse, bet ir audiniuose.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Default="00B41D55" w:rsidP="00B41D55">
      <w:pPr>
        <w:pStyle w:val="Revision"/>
        <w:rPr>
          <w:sz w:val="22"/>
          <w:szCs w:val="22"/>
        </w:rPr>
      </w:pPr>
      <w:r w:rsidRPr="000045C3">
        <w:rPr>
          <w:sz w:val="22"/>
          <w:szCs w:val="22"/>
        </w:rPr>
        <w:t>Hepa-Merz vartojamas prasidedančio sąmonės sutrikimo, pasireiškusio dėl latentinės ar akivaizdžios kepenų encefalopatijos, gydymui.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Pr="000045C3" w:rsidRDefault="00B41D55" w:rsidP="00B41D55">
      <w:pPr>
        <w:pStyle w:val="PI-1EMEASMCA"/>
      </w:pPr>
      <w:bookmarkStart w:id="2" w:name="_Toc129243140"/>
      <w:bookmarkStart w:id="3" w:name="_Toc129243265"/>
      <w:r w:rsidRPr="000045C3">
        <w:t>2.</w:t>
      </w:r>
      <w:r w:rsidRPr="000045C3">
        <w:tab/>
        <w:t>Kas žinotina prieš vartojant Hepa-Merz</w:t>
      </w:r>
      <w:bookmarkEnd w:id="2"/>
      <w:bookmarkEnd w:id="3"/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Pr="000045C3" w:rsidRDefault="00B41D55" w:rsidP="00B41D55">
      <w:pPr>
        <w:pStyle w:val="PI-3EMEASMCA"/>
      </w:pPr>
      <w:r w:rsidRPr="000045C3">
        <w:t>Hepa-Merz vartoti negalima:</w:t>
      </w:r>
    </w:p>
    <w:p w:rsidR="00B41D55" w:rsidRPr="000045C3" w:rsidRDefault="00B41D55" w:rsidP="00B41D55">
      <w:pPr>
        <w:pStyle w:val="Revision"/>
        <w:ind w:left="567" w:hanging="567"/>
        <w:rPr>
          <w:sz w:val="22"/>
          <w:szCs w:val="22"/>
        </w:rPr>
      </w:pPr>
      <w:r w:rsidRPr="000045C3">
        <w:rPr>
          <w:sz w:val="22"/>
          <w:szCs w:val="22"/>
        </w:rPr>
        <w:t>-</w:t>
      </w:r>
      <w:r w:rsidRPr="000045C3">
        <w:rPr>
          <w:sz w:val="22"/>
          <w:szCs w:val="22"/>
        </w:rPr>
        <w:tab/>
        <w:t>jei yra alergija veikliajai medžiagai arba bet kuriai kitai pagalbinei šio vaisto medžiagai (jos išvardytos 6 skyriuje);</w:t>
      </w:r>
    </w:p>
    <w:p w:rsidR="00B41D55" w:rsidRPr="000045C3" w:rsidRDefault="00B41D55" w:rsidP="00B41D55">
      <w:pPr>
        <w:pStyle w:val="Revision"/>
        <w:ind w:left="567" w:hanging="567"/>
        <w:rPr>
          <w:sz w:val="22"/>
          <w:szCs w:val="22"/>
        </w:rPr>
      </w:pPr>
      <w:r w:rsidRPr="000045C3">
        <w:rPr>
          <w:sz w:val="22"/>
          <w:szCs w:val="22"/>
        </w:rPr>
        <w:t>-</w:t>
      </w:r>
      <w:r w:rsidRPr="000045C3">
        <w:rPr>
          <w:sz w:val="22"/>
          <w:szCs w:val="22"/>
        </w:rPr>
        <w:tab/>
        <w:t>jei yra sunkus inkstų nepakankamumas, t. y. kreatinino kraujo serume yra daugiau kaip 3</w:t>
      </w:r>
      <w:r>
        <w:rPr>
          <w:sz w:val="22"/>
          <w:szCs w:val="22"/>
        </w:rPr>
        <w:t> </w:t>
      </w:r>
      <w:r w:rsidRPr="000045C3">
        <w:rPr>
          <w:sz w:val="22"/>
          <w:szCs w:val="22"/>
        </w:rPr>
        <w:t>mg/100 ml.</w:t>
      </w:r>
    </w:p>
    <w:p w:rsidR="00B41D55" w:rsidRPr="000045C3" w:rsidRDefault="00B41D55" w:rsidP="00B41D55"/>
    <w:p w:rsidR="00B41D55" w:rsidRPr="000045C3" w:rsidRDefault="00B41D55" w:rsidP="00B41D55">
      <w:pPr>
        <w:pStyle w:val="PI-3EMEASMCA"/>
      </w:pPr>
      <w:r w:rsidRPr="000045C3">
        <w:t>Įspėjimai ir atsargumo priemonės</w:t>
      </w:r>
    </w:p>
    <w:p w:rsidR="00B41D55" w:rsidRDefault="00B41D55" w:rsidP="00B41D55">
      <w:pPr>
        <w:pStyle w:val="Revision"/>
        <w:ind w:left="567" w:hanging="567"/>
        <w:rPr>
          <w:sz w:val="22"/>
          <w:szCs w:val="22"/>
        </w:rPr>
      </w:pPr>
      <w:r w:rsidRPr="000045C3">
        <w:rPr>
          <w:sz w:val="22"/>
          <w:szCs w:val="22"/>
        </w:rPr>
        <w:t>-</w:t>
      </w:r>
      <w:r w:rsidRPr="000045C3">
        <w:rPr>
          <w:sz w:val="22"/>
          <w:szCs w:val="22"/>
        </w:rPr>
        <w:tab/>
        <w:t>kai vartojamos didelės Hepa-Merz dozės, reikia kontroliuoti karbamido koncentraciją kraujo serume ir šlapime.</w:t>
      </w:r>
    </w:p>
    <w:p w:rsidR="00B41D55" w:rsidRPr="000045C3" w:rsidRDefault="00B41D55" w:rsidP="00B41D55">
      <w:pPr>
        <w:pStyle w:val="Revision"/>
        <w:ind w:left="567" w:hanging="567"/>
        <w:rPr>
          <w:sz w:val="22"/>
          <w:szCs w:val="22"/>
        </w:rPr>
      </w:pPr>
      <w:r w:rsidRPr="000045C3">
        <w:rPr>
          <w:sz w:val="22"/>
          <w:szCs w:val="22"/>
        </w:rPr>
        <w:t>-</w:t>
      </w:r>
      <w:r w:rsidRPr="000045C3">
        <w:rPr>
          <w:sz w:val="22"/>
          <w:szCs w:val="22"/>
        </w:rPr>
        <w:tab/>
        <w:t>jei yra didelis kepenų funkcijos nepakankamumas, siekiant išvengti pykinimo ir vėmimo, infuzijos greitį reikia parinkti kiekvienam ligoniui atskirai.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Pr="000045C3" w:rsidRDefault="00B41D55" w:rsidP="00B41D55">
      <w:pPr>
        <w:pStyle w:val="PI-3EMEASMCA"/>
      </w:pPr>
      <w:r w:rsidRPr="000045C3">
        <w:t>Kiti vaistai ir Hepa-Merz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  <w:r w:rsidRPr="000045C3">
        <w:rPr>
          <w:sz w:val="22"/>
          <w:szCs w:val="22"/>
        </w:rPr>
        <w:t>Sąveika su kitais vaistais nežinoma.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Pr="000045C3" w:rsidRDefault="00B41D55" w:rsidP="00B41D55">
      <w:pPr>
        <w:pStyle w:val="PI-3EMEASMCA"/>
      </w:pPr>
      <w:r w:rsidRPr="000045C3">
        <w:t>Nėštumas ir žindymo laikotarpis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  <w:r w:rsidRPr="000045C3">
        <w:rPr>
          <w:sz w:val="22"/>
          <w:szCs w:val="22"/>
        </w:rPr>
        <w:t>Jeigu esate nėščia, žindote kūdikį, manote, kad galbūt esate nėščia, arba planuojate pastoti, tai prieš vartodama šį vaistą, pasitarkite su gydytoju arba vaistininku.</w:t>
      </w:r>
    </w:p>
    <w:p w:rsidR="00B41D55" w:rsidRDefault="00B41D55" w:rsidP="00B41D55">
      <w:pPr>
        <w:pStyle w:val="Revision"/>
        <w:rPr>
          <w:b/>
          <w:sz w:val="22"/>
          <w:szCs w:val="22"/>
        </w:rPr>
      </w:pPr>
      <w:r w:rsidRPr="000045C3">
        <w:rPr>
          <w:sz w:val="22"/>
          <w:szCs w:val="22"/>
        </w:rPr>
        <w:t>Klinikinių duomenų apie Hepa-Merz vartojimą nėštumo ir žindymo metu nėra. Todėl nėščioms ir žindančioms moterims Hepa-Merz vartoti nerekomenduojama.</w:t>
      </w:r>
    </w:p>
    <w:p w:rsidR="00B41D55" w:rsidRPr="000045C3" w:rsidRDefault="00B41D55" w:rsidP="00B41D55">
      <w:pPr>
        <w:pStyle w:val="PI-3EMEASMCA"/>
      </w:pPr>
    </w:p>
    <w:p w:rsidR="00B41D55" w:rsidRPr="000045C3" w:rsidRDefault="00B41D55" w:rsidP="00B41D55">
      <w:pPr>
        <w:pStyle w:val="PI-3EMEASMCA"/>
      </w:pPr>
      <w:r w:rsidRPr="000045C3">
        <w:t>Vairavimas ir mechanizmų valdymas</w:t>
      </w:r>
    </w:p>
    <w:p w:rsidR="00B41D55" w:rsidRPr="000045C3" w:rsidRDefault="00B41D55" w:rsidP="00B41D55">
      <w:pPr>
        <w:tabs>
          <w:tab w:val="left" w:pos="567"/>
        </w:tabs>
      </w:pPr>
      <w:r w:rsidRPr="000045C3">
        <w:t>Dėl ligos sutrikęs gebėjimas vairuoti ir prižiūrėti įrenginius gali laikytis ir vaisto vartojimo metu.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Pr="000045C3" w:rsidRDefault="00B41D55" w:rsidP="00B41D55">
      <w:pPr>
        <w:pStyle w:val="PI-1EMEASMCA"/>
      </w:pPr>
      <w:bookmarkStart w:id="4" w:name="_Toc129243141"/>
      <w:bookmarkStart w:id="5" w:name="_Toc129243266"/>
      <w:r w:rsidRPr="000045C3">
        <w:t>3.</w:t>
      </w:r>
      <w:r w:rsidRPr="000045C3">
        <w:tab/>
        <w:t>Kaip vartoti Hepa-Merz</w:t>
      </w:r>
      <w:bookmarkEnd w:id="4"/>
      <w:bookmarkEnd w:id="5"/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Default="00B41D55" w:rsidP="00B41D55">
      <w:pPr>
        <w:pStyle w:val="Revision"/>
        <w:rPr>
          <w:sz w:val="22"/>
          <w:szCs w:val="22"/>
        </w:rPr>
      </w:pPr>
      <w:r w:rsidRPr="000045C3">
        <w:rPr>
          <w:sz w:val="22"/>
          <w:szCs w:val="22"/>
        </w:rPr>
        <w:t>Visada vartokite šį vaistą tiksliai kaip nurodė gydytojas.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  <w:r w:rsidRPr="000045C3">
        <w:rPr>
          <w:sz w:val="22"/>
          <w:szCs w:val="22"/>
        </w:rPr>
        <w:t>Prieš vartojimą sveikatos priežiūros specialistas ampulės turinį ištirpins infuziniame tirpale ir suleis infuzijos būdu. Hepa-Merz sterilų koncentratą galima maišyti su kitais infuziniais tirpalais. Sveikatos priežiūros specialistas infuzinį tirpalą paruoš prieš pat vartojimą.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Pr="000045C3" w:rsidRDefault="00B41D55" w:rsidP="00B41D55">
      <w:pPr>
        <w:pStyle w:val="Revision"/>
        <w:rPr>
          <w:sz w:val="22"/>
          <w:szCs w:val="22"/>
        </w:rPr>
      </w:pPr>
      <w:r w:rsidRPr="000045C3">
        <w:rPr>
          <w:sz w:val="22"/>
          <w:szCs w:val="22"/>
        </w:rPr>
        <w:t>Per parą rekomenduojama suleisti infuzinio tirpalo, paruošto iš ne daugiau kaip 4 ampulių sterilaus koncentrato.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  <w:r w:rsidRPr="000045C3">
        <w:rPr>
          <w:sz w:val="22"/>
          <w:szCs w:val="22"/>
        </w:rPr>
        <w:t>Prasidedančiam sąmonės sutrikimui gydyti bei sąmonei sutrikus (įvykus komai) per 24 valandas galima suleisti infuzinio tirpalo, paruošto iš ne daugiau kaip 8 ampulių sterilaus koncentrato.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Pr="000045C3" w:rsidRDefault="00B41D55" w:rsidP="00B41D55">
      <w:pPr>
        <w:pStyle w:val="Revision"/>
        <w:rPr>
          <w:sz w:val="22"/>
          <w:szCs w:val="22"/>
        </w:rPr>
      </w:pPr>
      <w:r w:rsidRPr="000045C3">
        <w:rPr>
          <w:sz w:val="22"/>
          <w:szCs w:val="22"/>
        </w:rPr>
        <w:t>Siekiant nepažeisti venų sienelės, 500 ml infuzinio tirpalo negalima skiesti su daugiau kaip 6 ampulių sterilaus koncentrato.</w:t>
      </w:r>
    </w:p>
    <w:p w:rsidR="00B41D55" w:rsidRDefault="00B41D55" w:rsidP="00B41D55">
      <w:pPr>
        <w:pStyle w:val="Revision"/>
        <w:rPr>
          <w:sz w:val="22"/>
          <w:szCs w:val="22"/>
        </w:rPr>
      </w:pPr>
      <w:r w:rsidRPr="000045C3">
        <w:rPr>
          <w:sz w:val="22"/>
          <w:szCs w:val="22"/>
        </w:rPr>
        <w:t>Infuzijos greitis turi būti ne didesnis kaip 5 g L–ornitino L–aspartato (tiek jo yra 1 ampulėje) per valandą.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  <w:r w:rsidRPr="000045C3">
        <w:rPr>
          <w:sz w:val="22"/>
          <w:szCs w:val="22"/>
        </w:rPr>
        <w:t>Hepa-Merz negalima leisti į arteriją.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Pr="000045C3" w:rsidRDefault="00B41D55" w:rsidP="00B41D55">
      <w:pPr>
        <w:pStyle w:val="Revision"/>
        <w:rPr>
          <w:sz w:val="22"/>
          <w:szCs w:val="22"/>
        </w:rPr>
      </w:pPr>
      <w:r w:rsidRPr="000045C3">
        <w:rPr>
          <w:sz w:val="22"/>
          <w:szCs w:val="22"/>
        </w:rPr>
        <w:t>Jei jums atrodo, kad Hepa-Merz poveikis per stiprus ar per silpnas, pasitarkite su savo gydytoju ar vaistininku.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Pr="000045C3" w:rsidRDefault="00B41D55" w:rsidP="00B41D55">
      <w:pPr>
        <w:pStyle w:val="PI-3EMEASMCA"/>
      </w:pPr>
      <w:r w:rsidRPr="000045C3">
        <w:t>Ką daryti pavartojus per didelę Hepa-Merz dozę?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  <w:r w:rsidRPr="000045C3">
        <w:rPr>
          <w:sz w:val="22"/>
          <w:szCs w:val="22"/>
        </w:rPr>
        <w:t>L-ornitino L-aspartato perdozavus, apsinuodijimo simptomų neatsiranda.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Pr="000045C3" w:rsidRDefault="00B41D55" w:rsidP="00B41D55">
      <w:pPr>
        <w:pStyle w:val="PI-3EMEASMCA"/>
      </w:pPr>
      <w:r w:rsidRPr="000045C3">
        <w:t>Pamiršus pavartoti Hepa-Merz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  <w:r w:rsidRPr="000045C3">
        <w:rPr>
          <w:sz w:val="22"/>
          <w:szCs w:val="22"/>
        </w:rPr>
        <w:t>Negalima vartoti dvigubos dozės norint kompensuoti praleistą dozę.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Pr="000045C3" w:rsidRDefault="00B41D55" w:rsidP="00B41D55">
      <w:pPr>
        <w:pStyle w:val="PI-1EMEASMCA"/>
      </w:pPr>
      <w:bookmarkStart w:id="6" w:name="_Toc129243142"/>
      <w:bookmarkStart w:id="7" w:name="_Toc129243267"/>
      <w:r w:rsidRPr="000045C3">
        <w:t>4.</w:t>
      </w:r>
      <w:r w:rsidRPr="000045C3">
        <w:tab/>
        <w:t>Galimas šalutinis poveikis</w:t>
      </w:r>
      <w:bookmarkEnd w:id="6"/>
      <w:bookmarkEnd w:id="7"/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Default="00B41D55" w:rsidP="00B41D55">
      <w:pPr>
        <w:pStyle w:val="Revision"/>
        <w:rPr>
          <w:sz w:val="22"/>
          <w:szCs w:val="22"/>
        </w:rPr>
      </w:pPr>
      <w:r w:rsidRPr="000045C3">
        <w:rPr>
          <w:sz w:val="22"/>
          <w:szCs w:val="22"/>
        </w:rPr>
        <w:t>Šis vaistas, kaip ir visi kiti, gali sukelti šalutinį poveikį, nors jis pasireiškia ne visiems žmonėms.</w:t>
      </w:r>
    </w:p>
    <w:p w:rsidR="00B41D55" w:rsidRPr="000045C3" w:rsidRDefault="00B41D55" w:rsidP="00B41D55"/>
    <w:p w:rsidR="00B41D55" w:rsidRPr="000045C3" w:rsidRDefault="00B41D55" w:rsidP="00B41D55">
      <w:pPr>
        <w:rPr>
          <w:b/>
        </w:rPr>
      </w:pPr>
      <w:r w:rsidRPr="000045C3">
        <w:rPr>
          <w:b/>
        </w:rPr>
        <w:t>Galimas šalutinis poveikis.</w:t>
      </w:r>
    </w:p>
    <w:p w:rsidR="00B41D55" w:rsidRPr="000045C3" w:rsidRDefault="00B41D55" w:rsidP="00B41D55">
      <w:r w:rsidRPr="000045C3">
        <w:t>Nedažnas: pykinimas</w:t>
      </w:r>
    </w:p>
    <w:p w:rsidR="00B41D55" w:rsidRPr="000045C3" w:rsidRDefault="00B41D55" w:rsidP="00B41D55">
      <w:r w:rsidRPr="000045C3">
        <w:t>Retas: pykinimas</w:t>
      </w:r>
    </w:p>
    <w:p w:rsidR="00B41D55" w:rsidRPr="000045C3" w:rsidRDefault="00B41D55" w:rsidP="00B41D55">
      <w:r w:rsidRPr="000045C3">
        <w:t>Dažnis nežinomas: padidėjusio jautrumo, ale</w:t>
      </w:r>
      <w:r>
        <w:t>r</w:t>
      </w:r>
      <w:r w:rsidRPr="000045C3">
        <w:t>ginės (anafilaksinės) reakcijos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Pr="000045C3" w:rsidRDefault="00B41D55" w:rsidP="00B41D55">
      <w:pPr>
        <w:pStyle w:val="Revision"/>
        <w:rPr>
          <w:sz w:val="22"/>
          <w:szCs w:val="22"/>
        </w:rPr>
      </w:pPr>
      <w:r w:rsidRPr="000045C3">
        <w:rPr>
          <w:sz w:val="22"/>
          <w:szCs w:val="22"/>
        </w:rPr>
        <w:t>Pykinimas ir vėmimas yra laikini ir dėl jų gydymo nutraukti nereikia. Jie išnyksta sumažinus vaisto dozę arba leidimo greitį.</w:t>
      </w:r>
    </w:p>
    <w:p w:rsidR="00B41D55" w:rsidRPr="000045C3" w:rsidRDefault="00B41D55" w:rsidP="00B41D55"/>
    <w:p w:rsidR="00B41D55" w:rsidRPr="000045C3" w:rsidRDefault="00B41D55" w:rsidP="00B41D55">
      <w:r w:rsidRPr="000045C3">
        <w:t>Nepageidaujamo poveikio dažnis yra toks: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5506"/>
      </w:tblGrid>
      <w:tr w:rsidR="00B41D55" w:rsidRPr="000045C3" w:rsidTr="004615F6">
        <w:trPr>
          <w:trHeight w:val="397"/>
        </w:trPr>
        <w:tc>
          <w:tcPr>
            <w:tcW w:w="1440" w:type="dxa"/>
          </w:tcPr>
          <w:p w:rsidR="00B41D55" w:rsidRPr="000045C3" w:rsidRDefault="00B41D55" w:rsidP="004615F6">
            <w:pPr>
              <w:spacing w:before="120"/>
              <w:jc w:val="both"/>
            </w:pPr>
            <w:r w:rsidRPr="000045C3">
              <w:t>Labai dažnas</w:t>
            </w:r>
          </w:p>
        </w:tc>
        <w:tc>
          <w:tcPr>
            <w:tcW w:w="5506" w:type="dxa"/>
          </w:tcPr>
          <w:p w:rsidR="00B41D55" w:rsidRPr="000045C3" w:rsidRDefault="00B41D55" w:rsidP="004615F6">
            <w:pPr>
              <w:spacing w:before="120"/>
              <w:jc w:val="both"/>
            </w:pPr>
            <w:r w:rsidRPr="000045C3">
              <w:t>pasireiškia daugiau kaip 1 pacientui iš 10</w:t>
            </w:r>
          </w:p>
        </w:tc>
      </w:tr>
      <w:tr w:rsidR="00B41D55" w:rsidRPr="000045C3" w:rsidTr="004615F6">
        <w:tc>
          <w:tcPr>
            <w:tcW w:w="1440" w:type="dxa"/>
          </w:tcPr>
          <w:p w:rsidR="00B41D55" w:rsidRPr="000045C3" w:rsidRDefault="00B41D55" w:rsidP="004615F6">
            <w:pPr>
              <w:spacing w:before="120"/>
              <w:jc w:val="both"/>
            </w:pPr>
            <w:r w:rsidRPr="000045C3">
              <w:t>Dažnas</w:t>
            </w:r>
          </w:p>
        </w:tc>
        <w:tc>
          <w:tcPr>
            <w:tcW w:w="5506" w:type="dxa"/>
          </w:tcPr>
          <w:p w:rsidR="00B41D55" w:rsidRPr="000045C3" w:rsidRDefault="00B41D55" w:rsidP="004615F6">
            <w:pPr>
              <w:spacing w:before="120"/>
              <w:jc w:val="both"/>
            </w:pPr>
            <w:r w:rsidRPr="000045C3">
              <w:t xml:space="preserve">pasireiškia mažiau kaip 1 iš 10 </w:t>
            </w:r>
          </w:p>
        </w:tc>
      </w:tr>
      <w:tr w:rsidR="00B41D55" w:rsidRPr="000045C3" w:rsidTr="004615F6">
        <w:tc>
          <w:tcPr>
            <w:tcW w:w="1440" w:type="dxa"/>
          </w:tcPr>
          <w:p w:rsidR="00B41D55" w:rsidRPr="000045C3" w:rsidRDefault="00B41D55" w:rsidP="004615F6">
            <w:pPr>
              <w:spacing w:before="120"/>
              <w:jc w:val="both"/>
            </w:pPr>
            <w:r w:rsidRPr="000045C3">
              <w:t>Nedažnas</w:t>
            </w:r>
          </w:p>
        </w:tc>
        <w:tc>
          <w:tcPr>
            <w:tcW w:w="5506" w:type="dxa"/>
          </w:tcPr>
          <w:p w:rsidR="00B41D55" w:rsidRPr="000045C3" w:rsidRDefault="00B41D55" w:rsidP="004615F6">
            <w:pPr>
              <w:spacing w:before="120"/>
              <w:jc w:val="both"/>
            </w:pPr>
            <w:r w:rsidRPr="000045C3">
              <w:t>pasireiškia mažiau kaip 1 iš 100</w:t>
            </w:r>
          </w:p>
        </w:tc>
      </w:tr>
      <w:tr w:rsidR="00B41D55" w:rsidRPr="000045C3" w:rsidTr="004615F6">
        <w:tc>
          <w:tcPr>
            <w:tcW w:w="1440" w:type="dxa"/>
          </w:tcPr>
          <w:p w:rsidR="00B41D55" w:rsidRPr="000045C3" w:rsidRDefault="00B41D55" w:rsidP="004615F6">
            <w:pPr>
              <w:spacing w:before="120"/>
              <w:jc w:val="both"/>
            </w:pPr>
            <w:r w:rsidRPr="000045C3">
              <w:t>Retas</w:t>
            </w:r>
          </w:p>
        </w:tc>
        <w:tc>
          <w:tcPr>
            <w:tcW w:w="5506" w:type="dxa"/>
          </w:tcPr>
          <w:p w:rsidR="00B41D55" w:rsidRPr="000045C3" w:rsidRDefault="00B41D55" w:rsidP="004615F6">
            <w:pPr>
              <w:spacing w:before="120"/>
              <w:jc w:val="both"/>
            </w:pPr>
            <w:r w:rsidRPr="000045C3">
              <w:t xml:space="preserve">pasireiškia mažiau kaip 1 iš 1000 </w:t>
            </w:r>
          </w:p>
        </w:tc>
      </w:tr>
      <w:tr w:rsidR="00B41D55" w:rsidRPr="000045C3" w:rsidTr="004615F6">
        <w:tc>
          <w:tcPr>
            <w:tcW w:w="1440" w:type="dxa"/>
          </w:tcPr>
          <w:p w:rsidR="00B41D55" w:rsidRPr="000045C3" w:rsidRDefault="00B41D55" w:rsidP="004615F6">
            <w:pPr>
              <w:spacing w:before="120"/>
              <w:jc w:val="both"/>
            </w:pPr>
            <w:r w:rsidRPr="000045C3">
              <w:t>Labai retas</w:t>
            </w:r>
          </w:p>
        </w:tc>
        <w:tc>
          <w:tcPr>
            <w:tcW w:w="5506" w:type="dxa"/>
          </w:tcPr>
          <w:p w:rsidR="00B41D55" w:rsidRPr="000045C3" w:rsidRDefault="00B41D55" w:rsidP="004615F6">
            <w:pPr>
              <w:spacing w:before="120"/>
            </w:pPr>
            <w:r w:rsidRPr="000045C3">
              <w:t xml:space="preserve">pasireiškia mažiau kaip 1 iš 10000 </w:t>
            </w:r>
          </w:p>
        </w:tc>
      </w:tr>
      <w:tr w:rsidR="00B41D55" w:rsidRPr="000045C3" w:rsidTr="004615F6">
        <w:tc>
          <w:tcPr>
            <w:tcW w:w="1440" w:type="dxa"/>
          </w:tcPr>
          <w:p w:rsidR="00B41D55" w:rsidRPr="000045C3" w:rsidRDefault="00B41D55" w:rsidP="004615F6">
            <w:pPr>
              <w:spacing w:before="120"/>
              <w:jc w:val="both"/>
            </w:pPr>
            <w:r w:rsidRPr="000045C3">
              <w:t>Nežinomas</w:t>
            </w:r>
          </w:p>
        </w:tc>
        <w:tc>
          <w:tcPr>
            <w:tcW w:w="5506" w:type="dxa"/>
          </w:tcPr>
          <w:p w:rsidR="00B41D55" w:rsidRPr="000045C3" w:rsidRDefault="00B41D55" w:rsidP="004615F6">
            <w:pPr>
              <w:spacing w:before="120"/>
            </w:pPr>
            <w:r w:rsidRPr="000045C3">
              <w:t>Negali būti įvertintas pagal turimus duomenis</w:t>
            </w:r>
          </w:p>
        </w:tc>
      </w:tr>
    </w:tbl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Pr="000045C3" w:rsidRDefault="00B41D55" w:rsidP="00B41D55">
      <w:pPr>
        <w:tabs>
          <w:tab w:val="left" w:pos="567"/>
        </w:tabs>
        <w:rPr>
          <w:b/>
          <w:snapToGrid w:val="0"/>
        </w:rPr>
      </w:pPr>
      <w:r w:rsidRPr="000045C3">
        <w:rPr>
          <w:b/>
          <w:snapToGrid w:val="0"/>
        </w:rPr>
        <w:t>Pranešimas apie šalutinį poveikį</w:t>
      </w:r>
    </w:p>
    <w:p w:rsidR="00B41D55" w:rsidRPr="000045C3" w:rsidRDefault="00B41D55" w:rsidP="00B41D55">
      <w:pPr>
        <w:tabs>
          <w:tab w:val="left" w:pos="567"/>
        </w:tabs>
        <w:rPr>
          <w:snapToGrid w:val="0"/>
        </w:rPr>
      </w:pPr>
      <w:r w:rsidRPr="000045C3">
        <w:rPr>
          <w:snapToGrid w:val="0"/>
          <w:szCs w:val="20"/>
        </w:rPr>
        <w:t>Jeigu pasireiškė šalutinis poveikis, įskaitant šiame lapelyje nenurodytą, pasakykite gydytojui arba vaistininkui. Apie šalutinį poveikį taip pat galite pranešti Valstybinei vaistų kontrolės tarnybai prie Lietuvos Respublikos sveikatos apsaugos ministerijos nemokamu t</w:t>
      </w:r>
      <w:r w:rsidRPr="000045C3">
        <w:rPr>
          <w:snapToGrid w:val="0"/>
          <w:szCs w:val="20"/>
          <w:lang w:eastAsia="zh-CN"/>
        </w:rPr>
        <w:t>elefonu 8 800 73568</w:t>
      </w:r>
      <w:r w:rsidRPr="000045C3">
        <w:rPr>
          <w:snapToGrid w:val="0"/>
          <w:szCs w:val="20"/>
        </w:rPr>
        <w:t xml:space="preserve"> arba užpildyti interneto svetainėje </w:t>
      </w:r>
      <w:hyperlink r:id="rId4" w:history="1">
        <w:r w:rsidRPr="000045C3">
          <w:rPr>
            <w:rFonts w:eastAsia="SimSun"/>
            <w:snapToGrid w:val="0"/>
            <w:color w:val="0000FF"/>
            <w:szCs w:val="20"/>
            <w:u w:val="single"/>
          </w:rPr>
          <w:t>www.vvkt.lt</w:t>
        </w:r>
      </w:hyperlink>
      <w:r w:rsidRPr="000045C3">
        <w:rPr>
          <w:snapToGrid w:val="0"/>
          <w:szCs w:val="20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0045C3">
        <w:rPr>
          <w:snapToGrid w:val="0"/>
          <w:szCs w:val="20"/>
          <w:lang w:eastAsia="zh-CN"/>
        </w:rPr>
        <w:t xml:space="preserve">nemokamu </w:t>
      </w:r>
      <w:r w:rsidRPr="000045C3">
        <w:rPr>
          <w:snapToGrid w:val="0"/>
          <w:szCs w:val="20"/>
        </w:rPr>
        <w:t>fakso numeriu 8 800 20131</w:t>
      </w:r>
      <w:r w:rsidRPr="000045C3">
        <w:rPr>
          <w:snapToGrid w:val="0"/>
          <w:szCs w:val="20"/>
          <w:lang w:eastAsia="zh-CN"/>
        </w:rPr>
        <w:t xml:space="preserve">, </w:t>
      </w:r>
      <w:r w:rsidRPr="000045C3">
        <w:rPr>
          <w:snapToGrid w:val="0"/>
          <w:szCs w:val="20"/>
        </w:rPr>
        <w:t xml:space="preserve">el. paštu </w:t>
      </w:r>
      <w:hyperlink r:id="rId5" w:history="1">
        <w:r w:rsidRPr="000045C3">
          <w:rPr>
            <w:rFonts w:eastAsia="SimSun"/>
            <w:snapToGrid w:val="0"/>
            <w:color w:val="0000FF"/>
            <w:szCs w:val="20"/>
            <w:u w:val="single"/>
          </w:rPr>
          <w:t>NepageidaujamaR@vvkt.lt</w:t>
        </w:r>
      </w:hyperlink>
      <w:r w:rsidRPr="000045C3">
        <w:rPr>
          <w:snapToGrid w:val="0"/>
          <w:szCs w:val="20"/>
        </w:rPr>
        <w:t xml:space="preserve">, taip pat per Valstybinės vaistų kontrolės tarnybos prie Lietuvos Respublikos sveikatos apsaugos ministerijos interneto svetainę (adresu </w:t>
      </w:r>
      <w:hyperlink r:id="rId6" w:history="1">
        <w:r w:rsidRPr="000045C3">
          <w:rPr>
            <w:rFonts w:eastAsia="SimSun"/>
            <w:snapToGrid w:val="0"/>
            <w:color w:val="0000FF"/>
            <w:szCs w:val="20"/>
            <w:u w:val="single"/>
          </w:rPr>
          <w:t>http://www.vvkt.lt</w:t>
        </w:r>
      </w:hyperlink>
      <w:r w:rsidRPr="000045C3">
        <w:rPr>
          <w:snapToGrid w:val="0"/>
          <w:szCs w:val="20"/>
        </w:rPr>
        <w:t>). Pranešdami apie šalutinį poveikį galite mums padėti gauti daugiau informacijos apie šio vaisto saugumą.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Pr="000045C3" w:rsidRDefault="00B41D55" w:rsidP="00B41D55">
      <w:pPr>
        <w:pStyle w:val="PI-1EMEASMCA"/>
      </w:pPr>
      <w:bookmarkStart w:id="8" w:name="_Toc129243143"/>
      <w:bookmarkStart w:id="9" w:name="_Toc129243268"/>
      <w:r w:rsidRPr="000045C3">
        <w:t>5.</w:t>
      </w:r>
      <w:r w:rsidRPr="000045C3">
        <w:tab/>
        <w:t>Kaip laikyti Hepa-Merz</w:t>
      </w:r>
      <w:bookmarkEnd w:id="8"/>
      <w:bookmarkEnd w:id="9"/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Pr="000045C3" w:rsidRDefault="00B41D55" w:rsidP="00B41D55">
      <w:pPr>
        <w:pStyle w:val="Revision"/>
        <w:rPr>
          <w:sz w:val="22"/>
          <w:szCs w:val="22"/>
        </w:rPr>
      </w:pPr>
      <w:r w:rsidRPr="000045C3">
        <w:rPr>
          <w:sz w:val="22"/>
          <w:szCs w:val="22"/>
        </w:rPr>
        <w:t>Šį vaistą laikykite vaikams nepastebimoje ir nepasiekiamoje vietoje.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Pr="000045C3" w:rsidRDefault="00B41D55" w:rsidP="00B41D55">
      <w:pPr>
        <w:pStyle w:val="Revision"/>
        <w:rPr>
          <w:sz w:val="22"/>
          <w:szCs w:val="22"/>
        </w:rPr>
      </w:pPr>
      <w:r w:rsidRPr="000045C3">
        <w:rPr>
          <w:sz w:val="22"/>
          <w:szCs w:val="22"/>
        </w:rPr>
        <w:t>Laikyti ne aukštesnėje kaip 30 °C temperatūroje.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Pr="000045C3" w:rsidRDefault="00B41D55" w:rsidP="00B41D55">
      <w:pPr>
        <w:pStyle w:val="Revision"/>
        <w:rPr>
          <w:sz w:val="22"/>
          <w:szCs w:val="22"/>
        </w:rPr>
      </w:pPr>
      <w:r w:rsidRPr="000045C3">
        <w:rPr>
          <w:sz w:val="22"/>
          <w:szCs w:val="22"/>
        </w:rPr>
        <w:t>Praskiestą tirpalą reikia suvartoti nedelsiant.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Pr="000045C3" w:rsidRDefault="00B41D55" w:rsidP="00B41D55">
      <w:pPr>
        <w:pStyle w:val="Revision"/>
        <w:rPr>
          <w:sz w:val="22"/>
          <w:szCs w:val="22"/>
        </w:rPr>
      </w:pPr>
      <w:r w:rsidRPr="000045C3">
        <w:rPr>
          <w:sz w:val="22"/>
          <w:szCs w:val="22"/>
        </w:rPr>
        <w:t>Ant dėžutės po „Tinka iki“ ir ampulės po „EXP“ nurodytam tinkamumo laikui pasibaigus, šio vaisto vartoti negalima. Vaistas tinkamas vartoti iki paskutinės nurodyto mėnesio dienos.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Pr="000045C3" w:rsidRDefault="00B41D55" w:rsidP="00B41D55">
      <w:pPr>
        <w:pStyle w:val="Revision"/>
        <w:rPr>
          <w:sz w:val="22"/>
          <w:szCs w:val="22"/>
        </w:rPr>
      </w:pPr>
      <w:r w:rsidRPr="000045C3">
        <w:rPr>
          <w:sz w:val="22"/>
          <w:szCs w:val="22"/>
        </w:rPr>
        <w:t>Vaistų negalima išpilti į kanalizaciją arba išmesti su buitinėmis atliekomis. Kaip tvarkyti nereikalingus vaistus, klauskite vaistininko. Šios priemonės padės apsaugoti aplinką.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Pr="000045C3" w:rsidRDefault="00B41D55" w:rsidP="00B41D55">
      <w:pPr>
        <w:pStyle w:val="PI-1EMEASMCA"/>
      </w:pPr>
      <w:bookmarkStart w:id="10" w:name="_Toc129243144"/>
      <w:bookmarkStart w:id="11" w:name="_Toc129243269"/>
      <w:r w:rsidRPr="000045C3">
        <w:t>6.</w:t>
      </w:r>
      <w:r w:rsidRPr="000045C3">
        <w:tab/>
        <w:t>Pakuotės turinys ir kita informacija</w:t>
      </w:r>
      <w:bookmarkEnd w:id="10"/>
      <w:bookmarkEnd w:id="11"/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Pr="000045C3" w:rsidRDefault="00B41D55" w:rsidP="00B41D55">
      <w:pPr>
        <w:pStyle w:val="PI-3EMEASMCA"/>
      </w:pPr>
      <w:r w:rsidRPr="000045C3">
        <w:t>Hepa-Merz sudėtis</w:t>
      </w:r>
    </w:p>
    <w:p w:rsidR="00B41D55" w:rsidRDefault="00B41D55" w:rsidP="00B41D55">
      <w:pPr>
        <w:tabs>
          <w:tab w:val="left" w:pos="567"/>
        </w:tabs>
      </w:pPr>
      <w:r w:rsidRPr="000045C3">
        <w:t>-</w:t>
      </w:r>
      <w:r w:rsidRPr="000045C3">
        <w:tab/>
        <w:t>Veiklioji medžiaga yra L-ornitino L-aspartatas. Vienoje ampulėje (10 ml sterilaus koncentrato) jo yra 5 g.</w:t>
      </w:r>
    </w:p>
    <w:p w:rsidR="00B41D55" w:rsidRDefault="00B41D55" w:rsidP="00B41D55">
      <w:pPr>
        <w:tabs>
          <w:tab w:val="left" w:pos="567"/>
        </w:tabs>
      </w:pPr>
      <w:r w:rsidRPr="000045C3">
        <w:t>-</w:t>
      </w:r>
      <w:r w:rsidRPr="000045C3">
        <w:tab/>
        <w:t>Pagalbinė medžiaga yra injekcinis vanduo.</w:t>
      </w:r>
    </w:p>
    <w:p w:rsidR="00B41D55" w:rsidRPr="000045C3" w:rsidRDefault="00B41D55" w:rsidP="00B41D55">
      <w:pPr>
        <w:pStyle w:val="Revision"/>
        <w:tabs>
          <w:tab w:val="left" w:pos="567"/>
        </w:tabs>
        <w:rPr>
          <w:sz w:val="22"/>
          <w:szCs w:val="22"/>
        </w:rPr>
      </w:pPr>
    </w:p>
    <w:p w:rsidR="00B41D55" w:rsidRPr="000045C3" w:rsidRDefault="00B41D55" w:rsidP="00B41D55">
      <w:pPr>
        <w:pStyle w:val="PI-3EMEASMCA"/>
      </w:pPr>
      <w:r w:rsidRPr="000045C3">
        <w:t>Hepa-Merz išvaizda ir kiekis pakuotėje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  <w:r w:rsidRPr="000045C3">
        <w:rPr>
          <w:sz w:val="22"/>
          <w:szCs w:val="22"/>
        </w:rPr>
        <w:t>Hepa-Merz 5 g/10 ml koncentratas infuziniam tirpalui yra skaidrus, gelsvas tirpalas.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  <w:r w:rsidRPr="000045C3">
        <w:rPr>
          <w:sz w:val="22"/>
          <w:szCs w:val="22"/>
        </w:rPr>
        <w:t>Praskiestas tirpalas yra skaidrus, bespalvis arba šviesiai gelsvos spalvos.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  <w:r w:rsidRPr="000045C3">
        <w:rPr>
          <w:sz w:val="22"/>
          <w:szCs w:val="22"/>
        </w:rPr>
        <w:t>Kartono dėžutėje yra 10 ampulių po 10 ml sterilaus koncentrato.</w:t>
      </w:r>
    </w:p>
    <w:p w:rsidR="00B41D55" w:rsidRPr="000045C3" w:rsidRDefault="00B41D55" w:rsidP="00B41D55">
      <w:pPr>
        <w:pStyle w:val="PI-3EMEASMCA"/>
      </w:pPr>
    </w:p>
    <w:p w:rsidR="00B41D55" w:rsidRDefault="00B41D55" w:rsidP="00B41D55">
      <w:pPr>
        <w:pStyle w:val="PI-3EMEASMCA"/>
      </w:pPr>
      <w:r w:rsidRPr="000045C3">
        <w:t>Registruotojas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  <w:r w:rsidRPr="000045C3">
        <w:rPr>
          <w:sz w:val="22"/>
          <w:szCs w:val="22"/>
        </w:rPr>
        <w:t>Merz Pharmaceuticals GmbH</w:t>
      </w:r>
    </w:p>
    <w:p w:rsidR="00B41D55" w:rsidRDefault="00B41D55" w:rsidP="00B41D55">
      <w:pPr>
        <w:pStyle w:val="Revision"/>
        <w:rPr>
          <w:sz w:val="22"/>
          <w:szCs w:val="22"/>
        </w:rPr>
      </w:pPr>
      <w:r w:rsidRPr="000045C3">
        <w:rPr>
          <w:sz w:val="22"/>
          <w:szCs w:val="22"/>
        </w:rPr>
        <w:t>Eckenheimer Landstrasse 100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  <w:r w:rsidRPr="000045C3">
        <w:rPr>
          <w:sz w:val="22"/>
          <w:szCs w:val="22"/>
        </w:rPr>
        <w:t>D-60318 Frankfurt/Main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  <w:r w:rsidRPr="000045C3">
        <w:rPr>
          <w:sz w:val="22"/>
          <w:szCs w:val="22"/>
        </w:rPr>
        <w:t>Vokietija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Pr="000045C3" w:rsidRDefault="00B41D55" w:rsidP="00B41D55">
      <w:pPr>
        <w:pStyle w:val="Revision"/>
        <w:rPr>
          <w:b/>
          <w:sz w:val="22"/>
          <w:szCs w:val="22"/>
        </w:rPr>
      </w:pPr>
      <w:r w:rsidRPr="000045C3">
        <w:rPr>
          <w:b/>
          <w:sz w:val="22"/>
          <w:szCs w:val="22"/>
        </w:rPr>
        <w:t>Gamintojas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  <w:r w:rsidRPr="000045C3">
        <w:rPr>
          <w:sz w:val="22"/>
          <w:szCs w:val="22"/>
        </w:rPr>
        <w:t>Merz Pharma GmbH &amp; Co KGaA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  <w:r w:rsidRPr="000045C3">
        <w:rPr>
          <w:sz w:val="22"/>
          <w:szCs w:val="22"/>
        </w:rPr>
        <w:t>Ludwigstraße 22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  <w:r w:rsidRPr="000045C3">
        <w:rPr>
          <w:sz w:val="22"/>
          <w:szCs w:val="22"/>
        </w:rPr>
        <w:t>D-64354 Reinheim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  <w:r w:rsidRPr="000045C3">
        <w:rPr>
          <w:sz w:val="22"/>
          <w:szCs w:val="22"/>
        </w:rPr>
        <w:t>Vokietija</w:t>
      </w:r>
    </w:p>
    <w:p w:rsidR="00B41D55" w:rsidRPr="000045C3" w:rsidRDefault="00B41D55" w:rsidP="00B41D55">
      <w:pPr>
        <w:pStyle w:val="Revision"/>
        <w:rPr>
          <w:sz w:val="22"/>
          <w:szCs w:val="22"/>
        </w:rPr>
      </w:pPr>
    </w:p>
    <w:p w:rsidR="00B41D55" w:rsidRPr="000045C3" w:rsidRDefault="00B41D55" w:rsidP="00B41D55">
      <w:pPr>
        <w:pStyle w:val="BTbEMEASMCA"/>
        <w:rPr>
          <w:sz w:val="22"/>
          <w:szCs w:val="22"/>
        </w:rPr>
      </w:pPr>
      <w:r w:rsidRPr="000045C3">
        <w:rPr>
          <w:bCs/>
          <w:sz w:val="22"/>
          <w:szCs w:val="22"/>
        </w:rPr>
        <w:t>Šis pakuotės lapelis</w:t>
      </w:r>
      <w:r w:rsidRPr="000045C3">
        <w:rPr>
          <w:sz w:val="22"/>
          <w:szCs w:val="22"/>
        </w:rPr>
        <w:t xml:space="preserve"> paskutinį kartą peržiūrėtas 2020-12-01.</w:t>
      </w:r>
    </w:p>
    <w:p w:rsidR="00B41D55" w:rsidRPr="000045C3" w:rsidRDefault="00B41D55" w:rsidP="00B41D55"/>
    <w:p w:rsidR="00B41D55" w:rsidRDefault="00B41D55" w:rsidP="00B41D55">
      <w:pPr>
        <w:pStyle w:val="Revision"/>
        <w:rPr>
          <w:rStyle w:val="Hyperlink"/>
          <w:rFonts w:eastAsia="SimSun"/>
          <w:sz w:val="22"/>
          <w:szCs w:val="22"/>
        </w:rPr>
      </w:pPr>
      <w:r w:rsidRPr="000045C3">
        <w:rPr>
          <w:sz w:val="22"/>
          <w:szCs w:val="22"/>
        </w:rPr>
        <w:t>Išsami informacija apie šį vaistą pateikiama Valstybinės vaistų kontrolės tarnybos prie Lietuvos Respublikos sveikatos apsaugos ministerijos tinklalapyje</w:t>
      </w:r>
      <w:r w:rsidRPr="000045C3">
        <w:rPr>
          <w:i/>
          <w:sz w:val="22"/>
          <w:szCs w:val="22"/>
        </w:rPr>
        <w:t xml:space="preserve"> </w:t>
      </w:r>
      <w:hyperlink r:id="rId7" w:history="1">
        <w:r w:rsidRPr="000045C3">
          <w:rPr>
            <w:rStyle w:val="Hyperlink"/>
            <w:rFonts w:eastAsia="SimSun"/>
            <w:sz w:val="22"/>
            <w:szCs w:val="22"/>
          </w:rPr>
          <w:t>http://www.vvkt.lt/</w:t>
        </w:r>
      </w:hyperlink>
    </w:p>
    <w:p w:rsidR="00B41D55" w:rsidRDefault="00B41D55"/>
    <w:sectPr w:rsidR="00B41D55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55"/>
    <w:rsid w:val="00B4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2B576-BE44-4774-B0EA-D4C59615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1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41D55"/>
    <w:rPr>
      <w:color w:val="0000FF"/>
      <w:u w:val="single"/>
    </w:rPr>
  </w:style>
  <w:style w:type="paragraph" w:customStyle="1" w:styleId="PI-1EMEASMCA">
    <w:name w:val="PI-1 EMEA_SMCA"/>
    <w:basedOn w:val="Heading2"/>
    <w:autoRedefine/>
    <w:rsid w:val="00B41D55"/>
    <w:pPr>
      <w:keepLines w:val="0"/>
      <w:tabs>
        <w:tab w:val="left" w:pos="567"/>
      </w:tabs>
      <w:spacing w:before="0" w:line="240" w:lineRule="auto"/>
      <w:ind w:left="567" w:hanging="567"/>
    </w:pPr>
    <w:rPr>
      <w:rFonts w:ascii="Times New Roman" w:eastAsia="Times New Roman" w:hAnsi="Times New Roman" w:cs="Times New Roman"/>
      <w:b/>
      <w:color w:val="auto"/>
      <w:sz w:val="22"/>
      <w:szCs w:val="22"/>
      <w:lang w:val="lt-LT"/>
    </w:rPr>
  </w:style>
  <w:style w:type="paragraph" w:styleId="Revision">
    <w:name w:val="Revision"/>
    <w:link w:val="RevisionChar"/>
    <w:hidden/>
    <w:uiPriority w:val="99"/>
    <w:semiHidden/>
    <w:rsid w:val="00B4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PI-3EMEASMCA">
    <w:name w:val="PI-3 EMEA_SMCA"/>
    <w:basedOn w:val="Normal"/>
    <w:autoRedefine/>
    <w:rsid w:val="00B41D55"/>
    <w:pPr>
      <w:spacing w:after="0" w:line="220" w:lineRule="exact"/>
    </w:pPr>
    <w:rPr>
      <w:rFonts w:ascii="Times New Roman" w:eastAsia="Times New Roman" w:hAnsi="Times New Roman" w:cs="Times New Roman"/>
      <w:b/>
      <w:bCs/>
      <w:lang w:val="lt-LT"/>
    </w:rPr>
  </w:style>
  <w:style w:type="paragraph" w:customStyle="1" w:styleId="BTbEMEASMCA">
    <w:name w:val="BT(b) EMEA_SMCA"/>
    <w:basedOn w:val="Normal"/>
    <w:autoRedefine/>
    <w:rsid w:val="00B41D5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lt-LT"/>
    </w:rPr>
  </w:style>
  <w:style w:type="character" w:customStyle="1" w:styleId="RevisionChar">
    <w:name w:val="Revision Char"/>
    <w:link w:val="Revision"/>
    <w:uiPriority w:val="99"/>
    <w:semiHidden/>
    <w:rsid w:val="00B41D55"/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1D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ma.europ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vkt.lt" TargetMode="External"/><Relationship Id="rId5" Type="http://schemas.openxmlformats.org/officeDocument/2006/relationships/hyperlink" Target="mailto:NepageidaujamaR@vvkt.lt" TargetMode="External"/><Relationship Id="rId4" Type="http://schemas.openxmlformats.org/officeDocument/2006/relationships/hyperlink" Target="http://www.vvkt.l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1032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2021-01-12T13:58:00Z</dcterms:created>
  <dcterms:modified xsi:type="dcterms:W3CDTF">2021-01-12T13:58:00Z</dcterms:modified>
</cp:coreProperties>
</file>