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4B8" w:rsidRPr="00514F05" w:rsidRDefault="002E24B8" w:rsidP="002E24B8">
      <w:pPr>
        <w:spacing w:after="0" w:line="240" w:lineRule="auto"/>
        <w:ind w:left="2160" w:firstLine="720"/>
        <w:rPr>
          <w:rFonts w:ascii="Times New Roman" w:hAnsi="Times New Roman" w:cs="Times New Roman"/>
          <w:b/>
          <w:color w:val="000000"/>
        </w:rPr>
      </w:pPr>
      <w:r w:rsidRPr="00514F05">
        <w:rPr>
          <w:rFonts w:ascii="Times New Roman" w:hAnsi="Times New Roman" w:cs="Times New Roman"/>
          <w:b/>
          <w:color w:val="000000"/>
        </w:rPr>
        <w:t>Pakuotės lapelis: informacija vartotojui</w:t>
      </w:r>
    </w:p>
    <w:p w:rsidR="002E24B8" w:rsidRPr="00514F05" w:rsidRDefault="002E24B8" w:rsidP="002E24B8">
      <w:pPr>
        <w:spacing w:after="0" w:line="240" w:lineRule="auto"/>
        <w:ind w:left="2160" w:firstLine="720"/>
        <w:rPr>
          <w:rFonts w:ascii="Times New Roman" w:hAnsi="Times New Roman" w:cs="Times New Roman"/>
          <w:b/>
          <w:color w:val="000000"/>
        </w:rPr>
      </w:pPr>
    </w:p>
    <w:p w:rsidR="002E24B8" w:rsidRPr="00514F05" w:rsidRDefault="002E24B8" w:rsidP="002E24B8">
      <w:pPr>
        <w:spacing w:after="0" w:line="240" w:lineRule="auto"/>
        <w:jc w:val="center"/>
        <w:rPr>
          <w:rFonts w:ascii="Times New Roman" w:eastAsia="Times New Roman" w:hAnsi="Times New Roman" w:cs="Times New Roman"/>
          <w:b/>
        </w:rPr>
      </w:pPr>
      <w:r w:rsidRPr="00514F05">
        <w:rPr>
          <w:rFonts w:ascii="Times New Roman" w:eastAsia="Times New Roman" w:hAnsi="Times New Roman" w:cs="Times New Roman"/>
          <w:b/>
        </w:rPr>
        <w:t>Uroflow 4</w:t>
      </w:r>
      <w:r w:rsidRPr="00514F05">
        <w:rPr>
          <w:rFonts w:ascii="Times New Roman" w:eastAsia="Times New Roman" w:hAnsi="Times New Roman" w:cs="Times New Roman"/>
        </w:rPr>
        <w:t> </w:t>
      </w:r>
      <w:r w:rsidRPr="00514F05">
        <w:rPr>
          <w:rFonts w:ascii="Times New Roman" w:eastAsia="Times New Roman" w:hAnsi="Times New Roman" w:cs="Times New Roman"/>
          <w:b/>
        </w:rPr>
        <w:t>mg pailginto atpalaidavimo kietosios kapsulės</w:t>
      </w:r>
    </w:p>
    <w:p w:rsidR="002E24B8" w:rsidRPr="00514F05" w:rsidRDefault="002E24B8" w:rsidP="002E24B8">
      <w:pPr>
        <w:spacing w:after="0" w:line="240" w:lineRule="auto"/>
        <w:jc w:val="center"/>
        <w:rPr>
          <w:rFonts w:ascii="Times New Roman" w:eastAsia="Times New Roman" w:hAnsi="Times New Roman" w:cs="Times New Roman"/>
          <w:b/>
        </w:rPr>
      </w:pPr>
    </w:p>
    <w:p w:rsidR="002E24B8" w:rsidRPr="00514F05" w:rsidRDefault="002E24B8" w:rsidP="002E24B8">
      <w:pPr>
        <w:spacing w:after="0" w:line="240" w:lineRule="auto"/>
        <w:jc w:val="center"/>
        <w:rPr>
          <w:rFonts w:ascii="Times New Roman" w:hAnsi="Times New Roman" w:cs="Times New Roman"/>
          <w:color w:val="000000"/>
        </w:rPr>
      </w:pPr>
      <w:r w:rsidRPr="00514F05">
        <w:rPr>
          <w:rFonts w:ascii="Times New Roman" w:hAnsi="Times New Roman" w:cs="Times New Roman"/>
          <w:color w:val="000000"/>
        </w:rPr>
        <w:t>Tolterodino tartratas</w:t>
      </w:r>
    </w:p>
    <w:p w:rsidR="002E24B8" w:rsidRPr="00514F05" w:rsidRDefault="002E24B8" w:rsidP="002E24B8">
      <w:pPr>
        <w:spacing w:after="0" w:line="240" w:lineRule="auto"/>
        <w:rPr>
          <w:rFonts w:ascii="Times New Roman" w:hAnsi="Times New Roman" w:cs="Times New Roman"/>
          <w:color w:val="000000"/>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Atidžiai perskaitykite visą šį lapelį, prieš pradėdami vartoti vaistą, nes jame pateikiama Jums svarbi informacija.</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        Neišmeskite šio lapelio, nes vėl gali prireikti jį perskaityti.</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         Jeigu kiltų daugiau klausimų, kreipkitės į gydytoją arba vaistininką.</w:t>
      </w:r>
    </w:p>
    <w:p w:rsidR="002E24B8" w:rsidRPr="00514F05" w:rsidRDefault="002E24B8" w:rsidP="002E24B8">
      <w:pPr>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2E24B8" w:rsidRPr="00514F05"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pasireiškė šalutinis poveikis (net jeigu jis šiame lapelyje nenurodytas), kreipkitės į gydytoją arba vaistininką. Žr. 4 skyrių.</w:t>
      </w:r>
    </w:p>
    <w:p w:rsidR="002E24B8"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p>
    <w:p w:rsidR="002E24B8"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Apie ką rašoma šiame lapelyje?</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1.</w:t>
      </w:r>
      <w:r w:rsidRPr="00514F05">
        <w:rPr>
          <w:rFonts w:ascii="Times New Roman" w:eastAsia="Times New Roman" w:hAnsi="Times New Roman" w:cs="Times New Roman"/>
        </w:rPr>
        <w:tab/>
        <w:t>Kas yra Uroflow ir kam jis vartojamas</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2.</w:t>
      </w:r>
      <w:r w:rsidRPr="00514F05">
        <w:rPr>
          <w:rFonts w:ascii="Times New Roman" w:eastAsia="Times New Roman" w:hAnsi="Times New Roman" w:cs="Times New Roman"/>
        </w:rPr>
        <w:tab/>
        <w:t>Kas žinotina prieš vartojant Uroflow</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3.</w:t>
      </w:r>
      <w:r w:rsidRPr="00514F05">
        <w:rPr>
          <w:rFonts w:ascii="Times New Roman" w:eastAsia="Times New Roman" w:hAnsi="Times New Roman" w:cs="Times New Roman"/>
        </w:rPr>
        <w:tab/>
        <w:t>Kaip vartoti Uroflow</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4.</w:t>
      </w:r>
      <w:r w:rsidRPr="00514F05">
        <w:rPr>
          <w:rFonts w:ascii="Times New Roman" w:eastAsia="Times New Roman" w:hAnsi="Times New Roman" w:cs="Times New Roman"/>
        </w:rPr>
        <w:tab/>
        <w:t>Galimas šalutinis poveikis</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5.</w:t>
      </w:r>
      <w:r w:rsidRPr="00514F05">
        <w:rPr>
          <w:rFonts w:ascii="Times New Roman" w:eastAsia="Times New Roman" w:hAnsi="Times New Roman" w:cs="Times New Roman"/>
        </w:rPr>
        <w:tab/>
      </w:r>
      <w:r w:rsidRPr="00514F05">
        <w:rPr>
          <w:rFonts w:ascii="Times New Roman" w:eastAsia="Times New Roman" w:hAnsi="Times New Roman" w:cs="Times New Roman"/>
          <w:position w:val="6"/>
        </w:rPr>
        <w:t>Kaip laikyti Uroflow</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6.</w:t>
      </w:r>
      <w:r w:rsidRPr="00514F05">
        <w:rPr>
          <w:rFonts w:ascii="Times New Roman" w:eastAsia="Times New Roman" w:hAnsi="Times New Roman" w:cs="Times New Roman"/>
        </w:rPr>
        <w:tab/>
        <w:t>Pakuotės turinys ir kita informacija</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tabs>
          <w:tab w:val="left" w:pos="567"/>
        </w:tabs>
        <w:spacing w:after="0" w:line="240" w:lineRule="auto"/>
        <w:rPr>
          <w:rFonts w:ascii="Times New Roman" w:eastAsia="Times New Roman" w:hAnsi="Times New Roman" w:cs="Times New Roman"/>
          <w:b/>
        </w:rPr>
      </w:pPr>
      <w:bookmarkStart w:id="0" w:name="_Toc129243139"/>
      <w:bookmarkStart w:id="1" w:name="_Toc129243264"/>
      <w:r w:rsidRPr="00514F05">
        <w:rPr>
          <w:rFonts w:ascii="Times New Roman" w:eastAsia="Times New Roman" w:hAnsi="Times New Roman" w:cs="Times New Roman"/>
          <w:b/>
        </w:rPr>
        <w:t>1.</w:t>
      </w:r>
      <w:r w:rsidRPr="00514F05">
        <w:rPr>
          <w:rFonts w:ascii="Times New Roman" w:eastAsia="Times New Roman" w:hAnsi="Times New Roman" w:cs="Times New Roman"/>
          <w:b/>
        </w:rPr>
        <w:tab/>
        <w:t>Kas yra Uroflow ir kam jis vartojamas</w:t>
      </w:r>
      <w:bookmarkEnd w:id="0"/>
      <w:bookmarkEnd w:id="1"/>
    </w:p>
    <w:p w:rsidR="002E24B8" w:rsidRPr="00514F05" w:rsidRDefault="002E24B8" w:rsidP="002E24B8">
      <w:pPr>
        <w:spacing w:after="0" w:line="240" w:lineRule="auto"/>
        <w:rPr>
          <w:rFonts w:ascii="Times New Roman" w:hAnsi="Times New Roman" w:cs="Times New Roman"/>
          <w:color w:val="000000"/>
        </w:rPr>
      </w:pP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Veiklioji Uroflow medžiaga yra tolterodinas. Tolterodinas priklauso vaistinių preparatų, vadinamų antimuskarininiais vaistais, grupei.</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Uroflow</w:t>
      </w:r>
      <w:r w:rsidRPr="00514F05">
        <w:rPr>
          <w:rFonts w:ascii="Times New Roman" w:eastAsia="Times New Roman" w:hAnsi="Times New Roman" w:cs="Times New Roman"/>
          <w:b/>
        </w:rPr>
        <w:t xml:space="preserve"> </w:t>
      </w:r>
      <w:r w:rsidRPr="00514F05">
        <w:rPr>
          <w:rFonts w:ascii="Times New Roman" w:eastAsia="Times New Roman" w:hAnsi="Times New Roman" w:cs="Times New Roman"/>
        </w:rPr>
        <w:t>vartojamas per daug aktyvios šlapimo pūslės sindromo simptomams gydyti. Jeigu Jums yra per daug aktyvios šlapimo pūslės sindromas, Jūs galite justi:</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kad negalite kontroliuoti šlapinimosi;</w:t>
      </w:r>
    </w:p>
    <w:p w:rsidR="002E24B8"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kad Jums reikia bėgti į tualetą be iš anksto jaučiamo noro ir (ar) į jį eiti dažnai.</w:t>
      </w:r>
    </w:p>
    <w:p w:rsidR="002E24B8" w:rsidRPr="00514F05" w:rsidRDefault="002E24B8" w:rsidP="002E24B8">
      <w:pPr>
        <w:spacing w:after="0" w:line="240" w:lineRule="auto"/>
        <w:rPr>
          <w:rFonts w:ascii="Times New Roman" w:hAnsi="Times New Roman" w:cs="Times New Roman"/>
          <w:color w:val="000000"/>
        </w:rPr>
      </w:pPr>
    </w:p>
    <w:p w:rsidR="002E24B8" w:rsidRPr="00514F05" w:rsidRDefault="002E24B8" w:rsidP="002E24B8">
      <w:pPr>
        <w:spacing w:after="0" w:line="240" w:lineRule="auto"/>
        <w:rPr>
          <w:rFonts w:ascii="Times New Roman" w:hAnsi="Times New Roman" w:cs="Times New Roman"/>
          <w:color w:val="000000"/>
        </w:rPr>
      </w:pPr>
    </w:p>
    <w:p w:rsidR="002E24B8" w:rsidRPr="00514F05" w:rsidRDefault="002E24B8" w:rsidP="002E24B8">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40"/>
      <w:bookmarkStart w:id="3" w:name="_Toc129243265"/>
      <w:r w:rsidRPr="00514F05">
        <w:rPr>
          <w:rFonts w:ascii="Times New Roman" w:eastAsia="Times New Roman" w:hAnsi="Times New Roman" w:cs="Times New Roman"/>
          <w:b/>
        </w:rPr>
        <w:t>2.</w:t>
      </w:r>
      <w:r w:rsidRPr="00514F05">
        <w:rPr>
          <w:rFonts w:ascii="Times New Roman" w:eastAsia="Times New Roman" w:hAnsi="Times New Roman" w:cs="Times New Roman"/>
          <w:b/>
        </w:rPr>
        <w:tab/>
        <w:t>Kas žinotina prieš vartojant Uroflow</w:t>
      </w:r>
      <w:bookmarkEnd w:id="2"/>
      <w:bookmarkEnd w:id="3"/>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Uroflow vartoti negalima:</w:t>
      </w:r>
    </w:p>
    <w:p w:rsidR="002E24B8"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yra alergija veikliajai medžiagai arba bet kuriai pagalbinei šio vaisto medžiagai (jos išvardytos 6 skyriuje);</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negalite ištuštinti šlapimo pūslės (šlapimo susilaikymas);</w:t>
      </w:r>
    </w:p>
    <w:p w:rsidR="002E24B8" w:rsidRPr="00514F05"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yra nekontroliuojama uždaro kampo glaukoma (su apakimu susijęs didelis akispūdis, kuris nepakankamai gydomas);</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sergate generalizuota miastenija (pernelyg didelis raumenų silpnumas);</w:t>
      </w:r>
    </w:p>
    <w:p w:rsidR="002E24B8" w:rsidRPr="00514F05" w:rsidRDefault="002E24B8" w:rsidP="002E24B8">
      <w:pPr>
        <w:tabs>
          <w:tab w:val="left" w:pos="567"/>
        </w:tabs>
        <w:spacing w:after="0" w:line="240" w:lineRule="auto"/>
        <w:rPr>
          <w:rFonts w:ascii="Times New Roman" w:eastAsia="Times New Roman" w:hAnsi="Times New Roman" w:cs="Times New Roman"/>
          <w:b/>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sergate sunkiu opiniu kolitu (storosios žarnos uždegimas ir išopėjimas);</w:t>
      </w:r>
    </w:p>
    <w:p w:rsidR="002E24B8"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jeigu vargina toksinis gaubtinės žarnos išsiplėtimas (ūmus gaubtinės žarnos išsiplėtimas).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Įspėjimai ir atsargumo priemonės</w:t>
      </w: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noProof/>
          <w:sz w:val="24"/>
          <w:szCs w:val="24"/>
        </w:rPr>
        <w:t>Pasitarkite su gydytoju arba vaistininku, prieš pradėdami vartoti Uroflow, jeigu:</w:t>
      </w:r>
    </w:p>
    <w:p w:rsidR="002E24B8"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Jums sunku nusišlapinti ir (arba) šlapimo srovė yra menka;</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sergate virškinimo trakto liga, kuri veikia maisto virškinimą ir (ar) jo slinkimą žarnomis;</w:t>
      </w:r>
    </w:p>
    <w:p w:rsidR="002E24B8"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vargina inkstų sutrikimas (inkstų nepakankamumas);</w:t>
      </w:r>
    </w:p>
    <w:p w:rsidR="002E24B8"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turite kepenų sutrikimų;</w:t>
      </w:r>
    </w:p>
    <w:p w:rsidR="002E24B8"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vargina nervų sutrikimas, kuris veikia Jūsų kraujospūdį, žarnų ar seksualinę funkciją (bet kokia autonominės nervų sistemos neuropatija);</w:t>
      </w:r>
    </w:p>
    <w:p w:rsidR="002E24B8"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Jums yra diafragminė išvarža (pilvo organo išvaržos susidarymas);</w:t>
      </w:r>
    </w:p>
    <w:p w:rsidR="002E24B8" w:rsidRPr="00514F05"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kartais susilpnėja žarnų motorika arba vargina sunkus vidurių užkietėjimas (susilpnėjusi skrandžio ir žarnų motorika);</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turite širdies sutrikimų, pvz.:</w:t>
      </w:r>
    </w:p>
    <w:p w:rsidR="002E24B8" w:rsidRPr="00514F05" w:rsidRDefault="002E24B8" w:rsidP="002E24B8">
      <w:pPr>
        <w:spacing w:after="0" w:line="240" w:lineRule="auto"/>
        <w:ind w:left="540"/>
        <w:rPr>
          <w:rFonts w:ascii="Times New Roman" w:eastAsia="Times New Roman" w:hAnsi="Times New Roman" w:cs="Times New Roman"/>
        </w:rPr>
      </w:pPr>
      <w:r w:rsidRPr="00514F05">
        <w:rPr>
          <w:rFonts w:ascii="Times New Roman" w:eastAsia="Times New Roman" w:hAnsi="Times New Roman" w:cs="Times New Roman"/>
        </w:rPr>
        <w:t>- nenormalus širdies veiklos užrašas (elektrokardiograma);</w:t>
      </w:r>
    </w:p>
    <w:p w:rsidR="002E24B8" w:rsidRPr="00514F05" w:rsidRDefault="002E24B8" w:rsidP="002E24B8">
      <w:pPr>
        <w:spacing w:after="0" w:line="240" w:lineRule="auto"/>
        <w:ind w:left="540"/>
        <w:rPr>
          <w:rFonts w:ascii="Times New Roman" w:eastAsia="Times New Roman" w:hAnsi="Times New Roman" w:cs="Times New Roman"/>
        </w:rPr>
      </w:pPr>
      <w:r w:rsidRPr="00514F05">
        <w:rPr>
          <w:rFonts w:ascii="Times New Roman" w:eastAsia="Times New Roman" w:hAnsi="Times New Roman" w:cs="Times New Roman"/>
        </w:rPr>
        <w:t>- retas širdies ritmas (bradikardija);</w:t>
      </w:r>
    </w:p>
    <w:p w:rsidR="002E24B8" w:rsidRPr="00514F05" w:rsidRDefault="002E24B8" w:rsidP="002E24B8">
      <w:pPr>
        <w:spacing w:after="0" w:line="240" w:lineRule="auto"/>
        <w:ind w:left="540"/>
        <w:rPr>
          <w:rFonts w:ascii="Times New Roman" w:eastAsia="Times New Roman" w:hAnsi="Times New Roman" w:cs="Times New Roman"/>
        </w:rPr>
      </w:pPr>
      <w:r w:rsidRPr="00514F05">
        <w:rPr>
          <w:rFonts w:ascii="Times New Roman" w:eastAsia="Times New Roman" w:hAnsi="Times New Roman" w:cs="Times New Roman"/>
        </w:rPr>
        <w:t>- prieš pradedant gydyti yra reikšminga širdies liga: kardiomiopatija (širdies raumens silpnumas), miokardo išemija (sumažėjęs širdies raumens aprūpinimas krauju), aritmija (nereguliarus širdies plakimas) ar širdies nepakankamumas;</w:t>
      </w:r>
    </w:p>
    <w:p w:rsidR="002E24B8" w:rsidRPr="00514F05" w:rsidRDefault="002E24B8" w:rsidP="002E24B8">
      <w:pPr>
        <w:tabs>
          <w:tab w:val="left" w:pos="567"/>
        </w:tabs>
        <w:spacing w:after="0" w:line="240" w:lineRule="auto"/>
        <w:ind w:left="540" w:hanging="540"/>
        <w:rPr>
          <w:rFonts w:ascii="Times New Roman" w:eastAsia="Times New Roman" w:hAnsi="Times New Roman" w:cs="Times New Roman"/>
          <w:b/>
        </w:rPr>
      </w:pPr>
      <w:r w:rsidRPr="00514F05">
        <w:rPr>
          <w:rFonts w:ascii="Times New Roman" w:eastAsia="Times New Roman" w:hAnsi="Times New Roman" w:cs="Times New Roman"/>
        </w:rPr>
        <w:t>-</w:t>
      </w:r>
      <w:r w:rsidRPr="00514F05">
        <w:rPr>
          <w:rFonts w:ascii="Times New Roman" w:eastAsia="Times New Roman" w:hAnsi="Times New Roman" w:cs="Times New Roman"/>
        </w:rPr>
        <w:tab/>
        <w:t>Jūsų kraujyje yra per mažai kalio (hipokalemija), kalcio (hipokalcemija) ar magnio (hipomagnezemija).</w:t>
      </w:r>
    </w:p>
    <w:p w:rsidR="002E24B8" w:rsidRPr="00514F05" w:rsidRDefault="002E24B8" w:rsidP="002E24B8">
      <w:pPr>
        <w:spacing w:after="0" w:line="240" w:lineRule="auto"/>
        <w:rPr>
          <w:rFonts w:ascii="Times New Roman" w:eastAsia="Times New Roman" w:hAnsi="Times New Roman" w:cs="Times New Roman"/>
        </w:rPr>
      </w:pPr>
    </w:p>
    <w:p w:rsidR="002E24B8"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Kiti vaistai ir Uroflow</w:t>
      </w: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Jeigu vartojate ar neseniai vartojote kitų vaistų arba dėl to nesate tikri, apie tai pasakykite gydytojui arba vaistininkui.</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Veiklioji Uroflow medžiaga tolterodinas gali sąveikauti su kitais vaistais.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Tolterodino nerekomenduojama vartoti kartu su:</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kai kuriais antibiotikais (kuriuose yra, pvz., eritromicino, klaritromicino);</w:t>
      </w:r>
    </w:p>
    <w:p w:rsidR="002E24B8" w:rsidRPr="00514F05"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grybelinėms infekcinėms ligoms gydyti skirtais vaistais (kuriuose yra, pvz., ketokonazolo, itrakonazolo);</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vaistais nuo ŽIV infekcijos.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Kartu su žemiau išvardytais vaistais Uroflow reikia vartoti atsargiai.</w:t>
      </w:r>
    </w:p>
    <w:p w:rsidR="002E24B8" w:rsidRPr="00514F05" w:rsidRDefault="002E24B8" w:rsidP="002E24B8">
      <w:pPr>
        <w:tabs>
          <w:tab w:val="left" w:pos="567"/>
        </w:tabs>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Vaistai, veikiantys maisto slinkimą žarnomis (kuriuose yra, pvz., metoklopramido ar cisaprido);</w:t>
      </w:r>
    </w:p>
    <w:p w:rsidR="002E24B8" w:rsidRPr="00514F05"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Vaistai nereguliariam širdies plakimui gydyti (kuriuose yra, pvz., amjodarono, sotalolio, chinidino, prokainamido).</w:t>
      </w:r>
    </w:p>
    <w:p w:rsidR="002E24B8"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Kitokie vaistai, kurių veikimo būdas yra panašus į Uroflow (sukeliantys antimuskarininį poveikį) arba kurių veikimo būdas yra priešingas Uroflow (sukeliantys cholinerginį poveikį). Skrandžio motorikos susilpnėjimas, sukeltas antimuskarininių vaistų, gali veikti kitų vaistų absorbciją. Jeigu nesate tikri, klauskite gydytojo.</w:t>
      </w: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Uroflow vartojimas su maistu ir gėrimais</w:t>
      </w: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Uroflow galima gerti prieš valgį, valgio metu arba po valgio.</w:t>
      </w: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Nėštumas ir žindymo laikotarpis</w:t>
      </w:r>
    </w:p>
    <w:p w:rsidR="002E24B8" w:rsidRPr="00514F05" w:rsidRDefault="002E24B8" w:rsidP="002E24B8">
      <w:pPr>
        <w:spacing w:after="0" w:line="240" w:lineRule="auto"/>
        <w:rPr>
          <w:rFonts w:ascii="Times New Roman" w:eastAsia="Times New Roman" w:hAnsi="Times New Roman" w:cs="Times New Roman"/>
          <w:noProof/>
          <w:sz w:val="24"/>
          <w:szCs w:val="24"/>
        </w:rPr>
      </w:pPr>
      <w:r w:rsidRPr="00514F05">
        <w:rPr>
          <w:rFonts w:ascii="Times New Roman" w:eastAsia="Times New Roman" w:hAnsi="Times New Roman" w:cs="Times New Roman"/>
          <w:noProof/>
          <w:sz w:val="24"/>
          <w:szCs w:val="24"/>
        </w:rPr>
        <w:t>Jeigu esate nėščia, žindote kūdikį, manote, kad galbūt esate nėščia, arba planuojate pastoti, tai prieš vartodama šį vaistą, pasitarkite su gydytoju arba vaistininku.</w:t>
      </w:r>
    </w:p>
    <w:p w:rsidR="002E24B8" w:rsidRPr="00514F05" w:rsidRDefault="002E24B8" w:rsidP="002E24B8">
      <w:pPr>
        <w:spacing w:after="0" w:line="240" w:lineRule="auto"/>
        <w:rPr>
          <w:rFonts w:ascii="Times New Roman" w:eastAsia="Times New Roman" w:hAnsi="Times New Roman" w:cs="Times New Roman"/>
          <w:i/>
        </w:rPr>
      </w:pPr>
    </w:p>
    <w:p w:rsidR="002E24B8" w:rsidRPr="00514F05" w:rsidRDefault="002E24B8" w:rsidP="002E24B8">
      <w:pPr>
        <w:spacing w:after="0" w:line="240" w:lineRule="auto"/>
        <w:rPr>
          <w:rFonts w:ascii="Times New Roman" w:eastAsia="Times New Roman" w:hAnsi="Times New Roman" w:cs="Times New Roman"/>
          <w:u w:val="single"/>
        </w:rPr>
      </w:pPr>
      <w:r w:rsidRPr="00514F05">
        <w:rPr>
          <w:rFonts w:ascii="Times New Roman" w:eastAsia="Times New Roman" w:hAnsi="Times New Roman" w:cs="Times New Roman"/>
          <w:u w:val="single"/>
        </w:rPr>
        <w:t>Nėštumas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Jeigu esate nėščia, Uroflow vartoti negalima. Jei esate nėščia, manote, kad galėjote pastoti ar planuojate pastoti, nedelsdama kreipkitės į gydytoją.</w:t>
      </w:r>
    </w:p>
    <w:p w:rsidR="002E24B8" w:rsidRPr="00514F05" w:rsidRDefault="002E24B8" w:rsidP="002E24B8">
      <w:pPr>
        <w:spacing w:after="0" w:line="240" w:lineRule="auto"/>
        <w:rPr>
          <w:rFonts w:ascii="Times New Roman" w:eastAsia="Times New Roman" w:hAnsi="Times New Roman" w:cs="Times New Roman"/>
          <w:b/>
          <w:u w:val="single"/>
        </w:rPr>
      </w:pPr>
    </w:p>
    <w:p w:rsidR="002E24B8" w:rsidRPr="00514F05" w:rsidRDefault="002E24B8" w:rsidP="002E24B8">
      <w:pPr>
        <w:spacing w:after="0" w:line="240" w:lineRule="auto"/>
        <w:rPr>
          <w:rFonts w:ascii="Times New Roman" w:eastAsia="Times New Roman" w:hAnsi="Times New Roman" w:cs="Times New Roman"/>
          <w:u w:val="single"/>
        </w:rPr>
      </w:pPr>
      <w:r w:rsidRPr="00514F05">
        <w:rPr>
          <w:rFonts w:ascii="Times New Roman" w:eastAsia="Times New Roman" w:hAnsi="Times New Roman" w:cs="Times New Roman"/>
          <w:u w:val="single"/>
        </w:rPr>
        <w:t>Žindymas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Ar veikliosios Uroflow medžiagos tolterodino išsiskiria su moters pienu, nežinoma. Vartojant Uroflow, kūdikį krūtimi maitinti nerekomenduojama.</w:t>
      </w: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Vairavimas ir mechanizmų valdymas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Uroflow gali sukelti svaigulį, nuovargį ar veikti regą. Jeigu kuris nors iš šių simptomų pasireiškia, turite nevairuoti automobilio ir nevaldyti mechanizmų.</w:t>
      </w:r>
    </w:p>
    <w:p w:rsidR="002E24B8" w:rsidRPr="00514F05" w:rsidRDefault="002E24B8" w:rsidP="002E24B8">
      <w:pPr>
        <w:spacing w:after="0" w:line="240" w:lineRule="auto"/>
        <w:rPr>
          <w:rFonts w:ascii="Times New Roman" w:eastAsia="Times New Roman" w:hAnsi="Times New Roman" w:cs="Times New Roman"/>
        </w:rPr>
      </w:pPr>
    </w:p>
    <w:p w:rsidR="002E24B8" w:rsidRDefault="002E24B8" w:rsidP="002E24B8">
      <w:pPr>
        <w:spacing w:after="0" w:line="240" w:lineRule="auto"/>
        <w:rPr>
          <w:rFonts w:ascii="Times New Roman" w:eastAsia="Times New Roman" w:hAnsi="Times New Roman" w:cs="Times New Roman"/>
          <w:b/>
          <w:lang w:bidi="lt-LT"/>
        </w:rPr>
      </w:pPr>
      <w:r w:rsidRPr="00514F05">
        <w:rPr>
          <w:rFonts w:ascii="Times New Roman" w:eastAsia="Times New Roman" w:hAnsi="Times New Roman" w:cs="Times New Roman"/>
          <w:b/>
          <w:lang w:bidi="lt-LT"/>
        </w:rPr>
        <w:t>Uroflow sudėtyje yra laktozės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lang w:bidi="lt-LT"/>
        </w:rPr>
        <w:t>Jeigu gydytojas Jums yra sakęs, kad netoleruojate kokių nors angliavandenių, kreipkitės į jį prieš pradėdami vartoti šį vaistą.</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tabs>
          <w:tab w:val="left" w:pos="567"/>
        </w:tabs>
        <w:spacing w:after="0" w:line="240" w:lineRule="auto"/>
        <w:rPr>
          <w:rFonts w:ascii="Times New Roman" w:eastAsia="Times New Roman" w:hAnsi="Times New Roman" w:cs="Times New Roman"/>
          <w:b/>
          <w:caps/>
        </w:rPr>
      </w:pPr>
      <w:bookmarkStart w:id="4" w:name="_Toc129243141"/>
      <w:bookmarkStart w:id="5" w:name="_Toc129243266"/>
      <w:r w:rsidRPr="00514F05">
        <w:rPr>
          <w:rFonts w:ascii="Times New Roman" w:eastAsia="Times New Roman" w:hAnsi="Times New Roman" w:cs="Times New Roman"/>
          <w:b/>
        </w:rPr>
        <w:t>3.</w:t>
      </w:r>
      <w:r w:rsidRPr="00514F05">
        <w:rPr>
          <w:rFonts w:ascii="Times New Roman" w:eastAsia="Times New Roman" w:hAnsi="Times New Roman" w:cs="Times New Roman"/>
          <w:b/>
        </w:rPr>
        <w:tab/>
        <w:t>Kaip vartoti Uroflow</w:t>
      </w:r>
      <w:bookmarkEnd w:id="4"/>
      <w:bookmarkEnd w:id="5"/>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Dozavimas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Visada vartokite šį vaistą tiksliai kaip nurodė gydytojas</w:t>
      </w:r>
      <w:r w:rsidRPr="00514F05">
        <w:rPr>
          <w:rFonts w:ascii="Times New Roman" w:eastAsia="Times New Roman" w:hAnsi="Times New Roman" w:cs="Times New Roman"/>
          <w:noProof/>
          <w:snapToGrid w:val="0"/>
          <w:szCs w:val="24"/>
        </w:rPr>
        <w:t xml:space="preserve"> </w:t>
      </w:r>
      <w:r w:rsidRPr="00514F05">
        <w:rPr>
          <w:rFonts w:ascii="Times New Roman" w:eastAsia="Times New Roman" w:hAnsi="Times New Roman" w:cs="Times New Roman"/>
        </w:rPr>
        <w:t>arba vaistininkas. Jeigu abejojate, kreipkitės į gydytoją arba vaistininką.</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u w:val="single"/>
        </w:rPr>
      </w:pPr>
      <w:r w:rsidRPr="00514F05">
        <w:rPr>
          <w:rFonts w:ascii="Times New Roman" w:eastAsia="Times New Roman" w:hAnsi="Times New Roman" w:cs="Times New Roman"/>
          <w:u w:val="single"/>
        </w:rPr>
        <w:t>Suaugę žmonėms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Suaugusiems žmonėms rekomenduojama paros dozė yra viena 4 mg pailginto atpalaidavimo kietoji kapsulė.</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u w:val="single"/>
        </w:rPr>
      </w:pPr>
      <w:r w:rsidRPr="00514F05">
        <w:rPr>
          <w:rFonts w:ascii="Times New Roman" w:eastAsia="Times New Roman" w:hAnsi="Times New Roman" w:cs="Times New Roman"/>
          <w:u w:val="single"/>
        </w:rPr>
        <w:t>Pacientai, kurių kepenų ar inkstų veikla sutrikusi</w:t>
      </w: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Pacientams, kurių inkstų ar kepenų veikla sutrikusi, gydytojas paros dozę gali sumažinti iki 2 mg</w:t>
      </w:r>
    </w:p>
    <w:p w:rsidR="002E24B8" w:rsidRPr="00514F05" w:rsidRDefault="002E24B8" w:rsidP="002E24B8">
      <w:pPr>
        <w:spacing w:after="0" w:line="240" w:lineRule="auto"/>
        <w:rPr>
          <w:rFonts w:ascii="Times New Roman" w:eastAsia="Times New Roman" w:hAnsi="Times New Roman" w:cs="Times New Roman"/>
          <w:sz w:val="24"/>
          <w:szCs w:val="20"/>
        </w:rPr>
      </w:pPr>
      <w:r w:rsidRPr="00514F05">
        <w:rPr>
          <w:rFonts w:ascii="Times New Roman" w:eastAsia="Times New Roman" w:hAnsi="Times New Roman" w:cs="Times New Roman"/>
          <w:sz w:val="24"/>
          <w:szCs w:val="20"/>
        </w:rPr>
        <w:t>tolterodino tartrato per parą.</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u w:val="single"/>
        </w:rPr>
      </w:pPr>
      <w:r w:rsidRPr="00514F05">
        <w:rPr>
          <w:rFonts w:ascii="Times New Roman" w:eastAsia="Times New Roman" w:hAnsi="Times New Roman" w:cs="Times New Roman"/>
          <w:u w:val="single"/>
        </w:rPr>
        <w:t>Vaikai</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Vaikams Uroflow vartoti nerekomenduojama.</w:t>
      </w:r>
    </w:p>
    <w:p w:rsidR="002E24B8" w:rsidRPr="00514F05" w:rsidRDefault="002E24B8" w:rsidP="002E24B8">
      <w:pPr>
        <w:spacing w:after="0" w:line="240" w:lineRule="auto"/>
        <w:rPr>
          <w:rFonts w:ascii="Times New Roman" w:eastAsia="Times New Roman" w:hAnsi="Times New Roman" w:cs="Times New Roman"/>
        </w:rPr>
      </w:pP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Pailginto atpalaidavimo kietosios kapsulės yra skirtos vartoti per burną. Reikia nuryti visą kapsulę.</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Kapsulių kramtyti negalima.</w:t>
      </w: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Ką daryti pavartojus per didelę Uroflow dozę?</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Jeigu Jūs ar kas nors kitas išgėrėte per daug pailginto atpalaidavimo kietųjų kapsulių, nedelsdami kreipkitės į savo gydytoją arba vaistininką. Perdozavimo simptomai yra haliucinacijos, sujaudinimas, dažnesnis negu paprastai širdies plakimas, vyzdžių išsiplėtimas ir negalėjimas nusišlapinti arba normaliai kvėpuoti.</w:t>
      </w: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Pamiršus pavartoti Uroflow</w:t>
      </w: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Jeigu įprastiniu laiku dozę išgerti pamiršote, gerkite ją tuoj pat, kai tik prisiminsite, nebent būtų atėjęs laikas gerti kitą dozę. Tokiu atveju pamirštąją dozę praleiskite ir toliau vaisto vartokite įprastine tvarka.</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Negalima vartoti dvigubos dozės norint kompensuoti praleistą dozę.</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Nustojus vartoti Uroflow</w:t>
      </w: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Kiek laiko Jus gydys Uroflow kapsulėmis, pasakys Jūsų gydytojas. Dėl to, kad nepastebite skubaus poveikio, gydymo prieš laiką nenutraukite. Jūsų šlapimo pūslei prisitaikyti reikia šiek tiek laiko. Baikite visą Jūsų gydytojo skirtą pailginto atpalaidavimo kietųjų kapsulių vartojimo kursą. Jeigu nepastebite jokio poveikio, tada pasikalbėkite su savo gydytoju.</w:t>
      </w:r>
    </w:p>
    <w:p w:rsidR="002E24B8" w:rsidRPr="00514F05" w:rsidRDefault="002E24B8" w:rsidP="002E24B8">
      <w:pPr>
        <w:spacing w:after="0" w:line="240" w:lineRule="auto"/>
        <w:rPr>
          <w:rFonts w:ascii="Times New Roman" w:eastAsia="Times New Roman" w:hAnsi="Times New Roman" w:cs="Times New Roman"/>
        </w:rPr>
      </w:pP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Gydymo nauda turi būti iš naujo įvertinta po 2 arba 3 gydymo mėnesių. Galvodami apie gydymo nutraukimą, visada kreipkitės į savo gydytoją patarimo.</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Jeigu kiltų daugiau klausimų dėl šio vaisto vartojimo, kreipkitės į gydytoją arba vaistininką.</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tabs>
          <w:tab w:val="left" w:pos="567"/>
        </w:tabs>
        <w:spacing w:after="0" w:line="240" w:lineRule="auto"/>
        <w:rPr>
          <w:rFonts w:ascii="Times New Roman" w:eastAsia="Times New Roman" w:hAnsi="Times New Roman" w:cs="Times New Roman"/>
          <w:b/>
        </w:rPr>
      </w:pPr>
      <w:bookmarkStart w:id="6" w:name="_Toc129243142"/>
      <w:bookmarkStart w:id="7" w:name="_Toc129243267"/>
      <w:r w:rsidRPr="00514F05">
        <w:rPr>
          <w:rFonts w:ascii="Times New Roman" w:eastAsia="Times New Roman" w:hAnsi="Times New Roman" w:cs="Times New Roman"/>
          <w:b/>
        </w:rPr>
        <w:t>4.</w:t>
      </w:r>
      <w:r w:rsidRPr="00514F05">
        <w:rPr>
          <w:rFonts w:ascii="Times New Roman" w:eastAsia="Times New Roman" w:hAnsi="Times New Roman" w:cs="Times New Roman"/>
          <w:b/>
        </w:rPr>
        <w:tab/>
        <w:t>Galimas šalutinis poveikis</w:t>
      </w:r>
      <w:bookmarkEnd w:id="6"/>
      <w:bookmarkEnd w:id="7"/>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Šis vaistas, kaip ir visi kiti, gali sukelti šalutinį poveikį, nors jis pasireiškia ne visiems žmonėms.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Turite nedelsdami kreiptis į savo gydytoją arba vykti į skubiosios medicinos pagalbos skyrių, jeigu atsiranda tokių simptomų:</w:t>
      </w:r>
    </w:p>
    <w:p w:rsidR="002E24B8" w:rsidRPr="00514F05" w:rsidRDefault="002E24B8" w:rsidP="002E24B8">
      <w:pPr>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         sunki alerginė reakcija ar angioneurozinė edema (dažnis nežinomas - negali būti apskaičiuotas pagal turimus duomenis), pavyzdžiui:</w:t>
      </w:r>
    </w:p>
    <w:p w:rsidR="002E24B8" w:rsidRPr="00514F05" w:rsidRDefault="002E24B8" w:rsidP="002E24B8">
      <w:pPr>
        <w:tabs>
          <w:tab w:val="left" w:pos="567"/>
        </w:tabs>
        <w:spacing w:after="0" w:line="240" w:lineRule="auto"/>
        <w:ind w:left="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 xml:space="preserve">  veido, liežuvio ar ryklės patinimas, rijimo ar kvėpavimo pasunkėjimas;</w:t>
      </w:r>
    </w:p>
    <w:p w:rsidR="002E24B8" w:rsidRPr="00514F05" w:rsidRDefault="002E24B8" w:rsidP="002E24B8">
      <w:pPr>
        <w:tabs>
          <w:tab w:val="left" w:pos="567"/>
        </w:tabs>
        <w:spacing w:after="0" w:line="240" w:lineRule="auto"/>
        <w:ind w:left="567"/>
        <w:rPr>
          <w:rFonts w:ascii="Times New Roman" w:eastAsia="Times New Roman" w:hAnsi="Times New Roman" w:cs="Times New Roman"/>
        </w:rPr>
      </w:pPr>
      <w:r w:rsidRPr="00514F05">
        <w:rPr>
          <w:rFonts w:ascii="Times New Roman" w:eastAsia="Times New Roman" w:hAnsi="Times New Roman" w:cs="Times New Roman"/>
        </w:rPr>
        <w:t>•   dilgėlinė, išbėrimas, niežulys.</w:t>
      </w:r>
    </w:p>
    <w:p w:rsidR="002E24B8" w:rsidRPr="00514F05"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 xml:space="preserve">širdies nepakankamumas (pasireiškia nedažnai - </w:t>
      </w:r>
      <w:r w:rsidRPr="00514F05">
        <w:rPr>
          <w:rFonts w:ascii="Times New Roman" w:eastAsia="Times New Roman" w:hAnsi="Times New Roman" w:cs="Times New Roman"/>
          <w:lang w:bidi="lt-LT"/>
        </w:rPr>
        <w:t>gali pasireikšti mažiau nei 1 iš 100 žmonių), pavyzdžiui:</w:t>
      </w:r>
    </w:p>
    <w:p w:rsidR="002E24B8" w:rsidRPr="00514F05" w:rsidRDefault="002E24B8" w:rsidP="002E24B8">
      <w:pPr>
        <w:tabs>
          <w:tab w:val="left" w:pos="851"/>
        </w:tabs>
        <w:spacing w:after="0" w:line="240" w:lineRule="auto"/>
        <w:ind w:left="851" w:hanging="284"/>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krūtinės skausmas, pasunkėja kvėpavimas arba lengvai nuvargstate (net ilsėdamiesi), pasunkėja kvėpavimas naktį, kojų patinimas.</w:t>
      </w:r>
    </w:p>
    <w:p w:rsidR="002E24B8" w:rsidRPr="00514F05" w:rsidRDefault="002E24B8" w:rsidP="002E24B8">
      <w:pPr>
        <w:tabs>
          <w:tab w:val="left" w:pos="567"/>
        </w:tabs>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Gydymo tolterodinu metu pastebėtas šalutinis poveikis yra išvardytas toliau pagal pasireiškimo dažnį.</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widowControl w:val="0"/>
        <w:autoSpaceDE w:val="0"/>
        <w:autoSpaceDN w:val="0"/>
        <w:adjustRightInd w:val="0"/>
        <w:spacing w:after="0" w:line="240" w:lineRule="auto"/>
        <w:ind w:right="11"/>
        <w:jc w:val="both"/>
        <w:rPr>
          <w:rFonts w:ascii="Times New Roman" w:eastAsia="Times New Roman" w:hAnsi="Times New Roman" w:cs="Times New Roman"/>
          <w:w w:val="102"/>
        </w:rPr>
      </w:pPr>
      <w:r w:rsidRPr="00514F05">
        <w:rPr>
          <w:rFonts w:ascii="Times New Roman" w:eastAsia="Times New Roman" w:hAnsi="Times New Roman" w:cs="Times New Roman"/>
          <w:b/>
          <w:bCs/>
          <w:spacing w:val="1"/>
        </w:rPr>
        <w:t xml:space="preserve">Labai dažnas </w:t>
      </w:r>
      <w:r w:rsidRPr="00514F05">
        <w:rPr>
          <w:rFonts w:ascii="Times New Roman" w:eastAsia="Times New Roman" w:hAnsi="Times New Roman" w:cs="Times New Roman"/>
        </w:rPr>
        <w:t>(</w:t>
      </w:r>
      <w:r w:rsidRPr="00514F05">
        <w:rPr>
          <w:rFonts w:ascii="Times New Roman" w:eastAsia="Times New Roman" w:hAnsi="Times New Roman" w:cs="Times New Roman"/>
          <w:lang w:bidi="lt-LT"/>
        </w:rPr>
        <w:t>gali pasireikšti daugiau kaip 1 žmogui iš 10</w:t>
      </w:r>
      <w:r w:rsidRPr="00514F05">
        <w:rPr>
          <w:rFonts w:ascii="Times New Roman" w:eastAsia="Times New Roman" w:hAnsi="Times New Roman" w:cs="Times New Roman"/>
        </w:rPr>
        <w:t xml:space="preserve">) </w:t>
      </w:r>
    </w:p>
    <w:tbl>
      <w:tblPr>
        <w:tblW w:w="0" w:type="auto"/>
        <w:tblInd w:w="108" w:type="dxa"/>
        <w:tblLook w:val="04A0" w:firstRow="1" w:lastRow="0" w:firstColumn="1" w:lastColumn="0" w:noHBand="0" w:noVBand="1"/>
      </w:tblPr>
      <w:tblGrid>
        <w:gridCol w:w="8222"/>
      </w:tblGrid>
      <w:tr w:rsidR="002E24B8" w:rsidRPr="00514F05" w:rsidTr="003277E4">
        <w:tc>
          <w:tcPr>
            <w:tcW w:w="8222" w:type="dxa"/>
          </w:tcPr>
          <w:p w:rsidR="002E24B8" w:rsidRPr="00514F05" w:rsidRDefault="002E24B8" w:rsidP="002E24B8">
            <w:pPr>
              <w:widowControl w:val="0"/>
              <w:numPr>
                <w:ilvl w:val="0"/>
                <w:numId w:val="2"/>
              </w:numPr>
              <w:tabs>
                <w:tab w:val="left" w:pos="432"/>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Burnos džiūvimas</w:t>
            </w:r>
          </w:p>
        </w:tc>
      </w:tr>
    </w:tbl>
    <w:p w:rsidR="002E24B8" w:rsidRPr="00514F05" w:rsidRDefault="002E24B8" w:rsidP="002E24B8">
      <w:pPr>
        <w:widowControl w:val="0"/>
        <w:autoSpaceDE w:val="0"/>
        <w:autoSpaceDN w:val="0"/>
        <w:adjustRightInd w:val="0"/>
        <w:spacing w:before="11" w:after="0" w:line="240" w:lineRule="exact"/>
        <w:ind w:right="11"/>
        <w:rPr>
          <w:rFonts w:ascii="Times New Roman" w:eastAsia="Times New Roman" w:hAnsi="Times New Roman" w:cs="Times New Roman"/>
        </w:rPr>
      </w:pPr>
    </w:p>
    <w:p w:rsidR="002E24B8" w:rsidRPr="00514F05" w:rsidRDefault="002E24B8" w:rsidP="002E24B8">
      <w:pPr>
        <w:widowControl w:val="0"/>
        <w:autoSpaceDE w:val="0"/>
        <w:autoSpaceDN w:val="0"/>
        <w:adjustRightInd w:val="0"/>
        <w:spacing w:after="0" w:line="240" w:lineRule="auto"/>
        <w:ind w:right="11"/>
        <w:rPr>
          <w:rFonts w:ascii="Times New Roman" w:eastAsia="Times New Roman" w:hAnsi="Times New Roman" w:cs="Times New Roman"/>
          <w:spacing w:val="1"/>
          <w:w w:val="102"/>
        </w:rPr>
      </w:pPr>
      <w:r w:rsidRPr="00514F05">
        <w:rPr>
          <w:rFonts w:ascii="Times New Roman" w:eastAsia="Times New Roman" w:hAnsi="Times New Roman" w:cs="Times New Roman"/>
          <w:b/>
          <w:bCs/>
          <w:spacing w:val="1"/>
        </w:rPr>
        <w:t>Dažnas</w:t>
      </w:r>
      <w:r w:rsidRPr="00514F05">
        <w:rPr>
          <w:rFonts w:ascii="Times New Roman" w:eastAsia="Times New Roman" w:hAnsi="Times New Roman" w:cs="Times New Roman"/>
          <w:b/>
          <w:bCs/>
          <w:spacing w:val="3"/>
        </w:rPr>
        <w:t xml:space="preserve"> </w:t>
      </w:r>
      <w:r w:rsidRPr="00514F05">
        <w:rPr>
          <w:rFonts w:ascii="Times New Roman" w:eastAsia="Times New Roman" w:hAnsi="Times New Roman" w:cs="Times New Roman"/>
          <w:spacing w:val="1"/>
        </w:rPr>
        <w:t>(</w:t>
      </w:r>
      <w:r w:rsidRPr="00514F05">
        <w:rPr>
          <w:rFonts w:ascii="Times New Roman" w:eastAsia="Times New Roman" w:hAnsi="Times New Roman" w:cs="Times New Roman"/>
          <w:spacing w:val="1"/>
          <w:lang w:bidi="lt-LT"/>
        </w:rPr>
        <w:t>gali pasireikšti mažiau kaip 1 žmogui iš 10</w:t>
      </w:r>
      <w:r w:rsidRPr="00514F05">
        <w:rPr>
          <w:rFonts w:ascii="Times New Roman" w:eastAsia="Times New Roman" w:hAnsi="Times New Roman" w:cs="Times New Roman"/>
        </w:rPr>
        <w:t>)</w:t>
      </w:r>
      <w:r w:rsidRPr="00514F05">
        <w:rPr>
          <w:rFonts w:ascii="Times New Roman" w:eastAsia="Times New Roman" w:hAnsi="Times New Roman" w:cs="Times New Roman"/>
          <w:b/>
          <w:spacing w:val="14"/>
        </w:rPr>
        <w:t xml:space="preserve"> </w:t>
      </w:r>
    </w:p>
    <w:tbl>
      <w:tblPr>
        <w:tblW w:w="0" w:type="auto"/>
        <w:tblInd w:w="108" w:type="dxa"/>
        <w:tblLayout w:type="fixed"/>
        <w:tblLook w:val="04A0" w:firstRow="1" w:lastRow="0" w:firstColumn="1" w:lastColumn="0" w:noHBand="0" w:noVBand="1"/>
      </w:tblPr>
      <w:tblGrid>
        <w:gridCol w:w="4111"/>
        <w:gridCol w:w="4111"/>
      </w:tblGrid>
      <w:tr w:rsidR="002E24B8" w:rsidRPr="00514F05" w:rsidTr="003277E4">
        <w:tc>
          <w:tcPr>
            <w:tcW w:w="4111" w:type="dxa"/>
          </w:tcPr>
          <w:p w:rsidR="002E24B8" w:rsidRPr="00514F05" w:rsidRDefault="002E24B8" w:rsidP="002E24B8">
            <w:pPr>
              <w:widowControl w:val="0"/>
              <w:numPr>
                <w:ilvl w:val="0"/>
                <w:numId w:val="3"/>
              </w:numPr>
              <w:tabs>
                <w:tab w:val="left" w:pos="0"/>
                <w:tab w:val="left" w:pos="50"/>
                <w:tab w:val="left" w:pos="432"/>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w w:val="102"/>
              </w:rPr>
              <w:t>Sinusitas</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Svaigulys</w:t>
            </w:r>
          </w:p>
        </w:tc>
      </w:tr>
      <w:tr w:rsidR="002E24B8" w:rsidRPr="00514F05" w:rsidTr="003277E4">
        <w:tc>
          <w:tcPr>
            <w:tcW w:w="4111" w:type="dxa"/>
          </w:tcPr>
          <w:p w:rsidR="002E24B8" w:rsidRPr="00514F05" w:rsidRDefault="002E24B8" w:rsidP="002E24B8">
            <w:pPr>
              <w:widowControl w:val="0"/>
              <w:numPr>
                <w:ilvl w:val="0"/>
                <w:numId w:val="3"/>
              </w:numPr>
              <w:tabs>
                <w:tab w:val="left" w:pos="0"/>
                <w:tab w:val="left" w:pos="432"/>
                <w:tab w:val="left" w:pos="720"/>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position w:val="1"/>
              </w:rPr>
              <w:t xml:space="preserve">Mieguistumas </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Galvos skausmas</w:t>
            </w:r>
          </w:p>
        </w:tc>
      </w:tr>
      <w:tr w:rsidR="002E24B8" w:rsidRPr="00514F05" w:rsidTr="003277E4">
        <w:tc>
          <w:tcPr>
            <w:tcW w:w="4111" w:type="dxa"/>
          </w:tcPr>
          <w:p w:rsidR="002E24B8" w:rsidRPr="00514F05" w:rsidRDefault="002E24B8" w:rsidP="002E24B8">
            <w:pPr>
              <w:widowControl w:val="0"/>
              <w:numPr>
                <w:ilvl w:val="0"/>
                <w:numId w:val="3"/>
              </w:numPr>
              <w:tabs>
                <w:tab w:val="left" w:pos="0"/>
                <w:tab w:val="left" w:pos="432"/>
                <w:tab w:val="left" w:pos="720"/>
              </w:tabs>
              <w:autoSpaceDE w:val="0"/>
              <w:autoSpaceDN w:val="0"/>
              <w:adjustRightInd w:val="0"/>
              <w:spacing w:after="0" w:line="240" w:lineRule="auto"/>
              <w:ind w:right="11"/>
              <w:jc w:val="both"/>
              <w:rPr>
                <w:rFonts w:ascii="Times New Roman" w:eastAsia="Times New Roman" w:hAnsi="Times New Roman" w:cs="Times New Roman"/>
                <w:spacing w:val="-2"/>
                <w:position w:val="1"/>
              </w:rPr>
            </w:pPr>
            <w:r w:rsidRPr="00514F05">
              <w:rPr>
                <w:rFonts w:ascii="Times New Roman" w:eastAsia="Times New Roman" w:hAnsi="Times New Roman" w:cs="Times New Roman"/>
                <w:spacing w:val="-2"/>
                <w:position w:val="1"/>
              </w:rPr>
              <w:t>Akių sausmė</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right="11"/>
              <w:jc w:val="both"/>
              <w:rPr>
                <w:rFonts w:ascii="Times New Roman" w:eastAsia="Times New Roman" w:hAnsi="Times New Roman" w:cs="Times New Roman"/>
                <w:w w:val="102"/>
              </w:rPr>
            </w:pPr>
            <w:r w:rsidRPr="00514F05">
              <w:rPr>
                <w:rFonts w:ascii="Times New Roman" w:eastAsia="Times New Roman" w:hAnsi="Times New Roman" w:cs="Times New Roman"/>
                <w:w w:val="102"/>
              </w:rPr>
              <w:t>Miglotas matymas</w:t>
            </w:r>
          </w:p>
        </w:tc>
      </w:tr>
      <w:tr w:rsidR="002E24B8" w:rsidRPr="00514F05" w:rsidTr="003277E4">
        <w:tc>
          <w:tcPr>
            <w:tcW w:w="4111" w:type="dxa"/>
          </w:tcPr>
          <w:p w:rsidR="002E24B8" w:rsidRPr="00514F05" w:rsidRDefault="002E24B8" w:rsidP="002E24B8">
            <w:pPr>
              <w:widowControl w:val="0"/>
              <w:numPr>
                <w:ilvl w:val="0"/>
                <w:numId w:val="3"/>
              </w:numPr>
              <w:tabs>
                <w:tab w:val="left" w:pos="50"/>
                <w:tab w:val="left" w:pos="432"/>
                <w:tab w:val="left" w:pos="720"/>
              </w:tabs>
              <w:autoSpaceDE w:val="0"/>
              <w:autoSpaceDN w:val="0"/>
              <w:adjustRightInd w:val="0"/>
              <w:spacing w:after="0" w:line="240" w:lineRule="auto"/>
              <w:ind w:right="11"/>
              <w:rPr>
                <w:rFonts w:ascii="Times New Roman" w:eastAsia="Times New Roman" w:hAnsi="Times New Roman" w:cs="Times New Roman"/>
                <w:spacing w:val="-2"/>
                <w:position w:val="1"/>
              </w:rPr>
            </w:pPr>
            <w:r w:rsidRPr="00514F05">
              <w:rPr>
                <w:rFonts w:ascii="Times New Roman" w:eastAsia="Times New Roman" w:hAnsi="Times New Roman" w:cs="Times New Roman"/>
                <w:spacing w:val="1"/>
              </w:rPr>
              <w:t xml:space="preserve">Virškinimo sutrikimas </w:t>
            </w:r>
            <w:r w:rsidRPr="00514F05">
              <w:rPr>
                <w:rFonts w:ascii="Times New Roman" w:eastAsia="Times New Roman" w:hAnsi="Times New Roman" w:cs="Times New Roman"/>
              </w:rPr>
              <w:t>(dispepsija)</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right="11"/>
              <w:jc w:val="both"/>
              <w:rPr>
                <w:rFonts w:ascii="Times New Roman" w:eastAsia="Times New Roman" w:hAnsi="Times New Roman" w:cs="Times New Roman"/>
                <w:w w:val="102"/>
              </w:rPr>
            </w:pPr>
            <w:r w:rsidRPr="00514F05">
              <w:rPr>
                <w:rFonts w:ascii="Times New Roman" w:eastAsia="Times New Roman" w:hAnsi="Times New Roman" w:cs="Times New Roman"/>
                <w:w w:val="102"/>
              </w:rPr>
              <w:t>Vidurių užkietėjimas</w:t>
            </w:r>
          </w:p>
        </w:tc>
      </w:tr>
      <w:tr w:rsidR="002E24B8" w:rsidRPr="00514F05" w:rsidTr="003277E4">
        <w:tc>
          <w:tcPr>
            <w:tcW w:w="4111" w:type="dxa"/>
          </w:tcPr>
          <w:p w:rsidR="002E24B8" w:rsidRPr="00514F05" w:rsidRDefault="002E24B8" w:rsidP="002E24B8">
            <w:pPr>
              <w:widowControl w:val="0"/>
              <w:numPr>
                <w:ilvl w:val="0"/>
                <w:numId w:val="3"/>
              </w:numPr>
              <w:tabs>
                <w:tab w:val="left" w:pos="0"/>
                <w:tab w:val="left" w:pos="432"/>
                <w:tab w:val="left" w:pos="720"/>
              </w:tabs>
              <w:autoSpaceDE w:val="0"/>
              <w:autoSpaceDN w:val="0"/>
              <w:adjustRightInd w:val="0"/>
              <w:spacing w:after="0" w:line="240" w:lineRule="auto"/>
              <w:ind w:right="11"/>
              <w:jc w:val="both"/>
              <w:rPr>
                <w:rFonts w:ascii="Times New Roman" w:eastAsia="Times New Roman" w:hAnsi="Times New Roman" w:cs="Times New Roman"/>
                <w:spacing w:val="-2"/>
                <w:position w:val="1"/>
              </w:rPr>
            </w:pPr>
            <w:r w:rsidRPr="00514F05">
              <w:rPr>
                <w:rFonts w:ascii="Times New Roman" w:eastAsia="Times New Roman" w:hAnsi="Times New Roman" w:cs="Times New Roman"/>
                <w:spacing w:val="-2"/>
                <w:position w:val="1"/>
              </w:rPr>
              <w:t>Pilvo skausmas</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left="461" w:right="11" w:hanging="427"/>
              <w:rPr>
                <w:rFonts w:ascii="Times New Roman" w:eastAsia="Times New Roman" w:hAnsi="Times New Roman" w:cs="Times New Roman"/>
                <w:w w:val="102"/>
              </w:rPr>
            </w:pPr>
            <w:r w:rsidRPr="00514F05">
              <w:rPr>
                <w:rFonts w:ascii="Times New Roman" w:eastAsia="Times New Roman" w:hAnsi="Times New Roman" w:cs="Times New Roman"/>
                <w:spacing w:val="3"/>
              </w:rPr>
              <w:t>Pernelyg didelis oro arba dujų kiekis skrandyje ar žarnose</w:t>
            </w:r>
          </w:p>
        </w:tc>
      </w:tr>
      <w:tr w:rsidR="002E24B8" w:rsidRPr="00514F05" w:rsidTr="003277E4">
        <w:tc>
          <w:tcPr>
            <w:tcW w:w="4111" w:type="dxa"/>
          </w:tcPr>
          <w:p w:rsidR="002E24B8" w:rsidRPr="00514F05" w:rsidRDefault="002E24B8" w:rsidP="002E24B8">
            <w:pPr>
              <w:widowControl w:val="0"/>
              <w:numPr>
                <w:ilvl w:val="0"/>
                <w:numId w:val="3"/>
              </w:numPr>
              <w:tabs>
                <w:tab w:val="left" w:pos="0"/>
                <w:tab w:val="left" w:pos="432"/>
                <w:tab w:val="left" w:pos="720"/>
              </w:tabs>
              <w:autoSpaceDE w:val="0"/>
              <w:autoSpaceDN w:val="0"/>
              <w:adjustRightInd w:val="0"/>
              <w:spacing w:after="0" w:line="240" w:lineRule="auto"/>
              <w:ind w:right="11"/>
              <w:rPr>
                <w:rFonts w:ascii="Times New Roman" w:eastAsia="Times New Roman" w:hAnsi="Times New Roman" w:cs="Times New Roman"/>
                <w:spacing w:val="-2"/>
                <w:position w:val="1"/>
              </w:rPr>
            </w:pPr>
            <w:r w:rsidRPr="00514F05">
              <w:rPr>
                <w:rFonts w:ascii="Times New Roman" w:eastAsia="Times New Roman" w:hAnsi="Times New Roman" w:cs="Times New Roman"/>
                <w:spacing w:val="-3"/>
              </w:rPr>
              <w:t>Skausmingas arba sunkus</w:t>
            </w:r>
            <w:r w:rsidRPr="00514F05">
              <w:rPr>
                <w:rFonts w:ascii="Times New Roman" w:eastAsia="Times New Roman" w:hAnsi="Times New Roman" w:cs="Times New Roman"/>
                <w:spacing w:val="-2"/>
                <w:position w:val="1"/>
              </w:rPr>
              <w:t xml:space="preserve"> </w:t>
            </w:r>
            <w:r w:rsidRPr="00514F05">
              <w:rPr>
                <w:rFonts w:ascii="Times New Roman" w:eastAsia="Times New Roman" w:hAnsi="Times New Roman" w:cs="Times New Roman"/>
                <w:spacing w:val="-3"/>
              </w:rPr>
              <w:t>šlapinimasis</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right="11"/>
              <w:jc w:val="both"/>
              <w:rPr>
                <w:rFonts w:ascii="Times New Roman" w:eastAsia="Times New Roman" w:hAnsi="Times New Roman" w:cs="Times New Roman"/>
                <w:w w:val="102"/>
              </w:rPr>
            </w:pPr>
            <w:r w:rsidRPr="00514F05">
              <w:rPr>
                <w:rFonts w:ascii="Times New Roman" w:eastAsia="Times New Roman" w:hAnsi="Times New Roman" w:cs="Times New Roman"/>
                <w:w w:val="102"/>
              </w:rPr>
              <w:t>Viduriavimas</w:t>
            </w:r>
          </w:p>
        </w:tc>
      </w:tr>
      <w:tr w:rsidR="002E24B8" w:rsidRPr="00514F05" w:rsidTr="003277E4">
        <w:tc>
          <w:tcPr>
            <w:tcW w:w="4111" w:type="dxa"/>
          </w:tcPr>
          <w:p w:rsidR="002E24B8" w:rsidRPr="00514F05" w:rsidRDefault="002E24B8" w:rsidP="002E24B8">
            <w:pPr>
              <w:widowControl w:val="0"/>
              <w:numPr>
                <w:ilvl w:val="0"/>
                <w:numId w:val="3"/>
              </w:numPr>
              <w:tabs>
                <w:tab w:val="left" w:pos="432"/>
                <w:tab w:val="left" w:pos="720"/>
              </w:tabs>
              <w:autoSpaceDE w:val="0"/>
              <w:autoSpaceDN w:val="0"/>
              <w:adjustRightInd w:val="0"/>
              <w:spacing w:after="0" w:line="240" w:lineRule="auto"/>
              <w:ind w:left="432" w:right="11" w:hanging="432"/>
              <w:rPr>
                <w:rFonts w:ascii="Times New Roman" w:eastAsia="Times New Roman" w:hAnsi="Times New Roman" w:cs="Times New Roman"/>
              </w:rPr>
            </w:pPr>
            <w:r w:rsidRPr="00514F05">
              <w:rPr>
                <w:rFonts w:ascii="Times New Roman" w:eastAsia="Times New Roman" w:hAnsi="Times New Roman" w:cs="Times New Roman"/>
              </w:rPr>
              <w:t>Skysčio perteklius organizme,  sukeliantis patinimą</w:t>
            </w:r>
            <w:r w:rsidRPr="00514F05">
              <w:rPr>
                <w:rFonts w:ascii="Times New Roman" w:eastAsia="Times New Roman" w:hAnsi="Times New Roman" w:cs="Times New Roman"/>
                <w:spacing w:val="5"/>
              </w:rPr>
              <w:t xml:space="preserve"> </w:t>
            </w:r>
            <w:r w:rsidRPr="00514F05">
              <w:rPr>
                <w:rFonts w:ascii="Times New Roman" w:eastAsia="Times New Roman" w:hAnsi="Times New Roman" w:cs="Times New Roman"/>
                <w:spacing w:val="-3"/>
              </w:rPr>
              <w:t>(pvz.,</w:t>
            </w:r>
            <w:r w:rsidRPr="00514F05">
              <w:rPr>
                <w:rFonts w:ascii="Times New Roman" w:eastAsia="Times New Roman" w:hAnsi="Times New Roman" w:cs="Times New Roman"/>
              </w:rPr>
              <w:t xml:space="preserve"> </w:t>
            </w:r>
            <w:r w:rsidRPr="00514F05">
              <w:rPr>
                <w:rFonts w:ascii="Times New Roman" w:eastAsia="Times New Roman" w:hAnsi="Times New Roman" w:cs="Times New Roman"/>
                <w:spacing w:val="-3"/>
              </w:rPr>
              <w:t>kulkšnių</w:t>
            </w:r>
            <w:r w:rsidRPr="00514F05">
              <w:rPr>
                <w:rFonts w:ascii="Times New Roman" w:eastAsia="Times New Roman" w:hAnsi="Times New Roman" w:cs="Times New Roman"/>
                <w:w w:val="102"/>
              </w:rPr>
              <w:t>)</w:t>
            </w:r>
          </w:p>
        </w:tc>
        <w:tc>
          <w:tcPr>
            <w:tcW w:w="4111" w:type="dxa"/>
          </w:tcPr>
          <w:p w:rsidR="002E24B8" w:rsidRPr="00514F05" w:rsidRDefault="002E24B8" w:rsidP="002E24B8">
            <w:pPr>
              <w:widowControl w:val="0"/>
              <w:numPr>
                <w:ilvl w:val="0"/>
                <w:numId w:val="3"/>
              </w:numPr>
              <w:tabs>
                <w:tab w:val="left" w:pos="461"/>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Nuovargis</w:t>
            </w:r>
          </w:p>
        </w:tc>
      </w:tr>
    </w:tbl>
    <w:p w:rsidR="002E24B8" w:rsidRPr="00514F05" w:rsidRDefault="002E24B8" w:rsidP="002E24B8">
      <w:pPr>
        <w:widowControl w:val="0"/>
        <w:autoSpaceDE w:val="0"/>
        <w:autoSpaceDN w:val="0"/>
        <w:adjustRightInd w:val="0"/>
        <w:spacing w:after="0" w:line="240" w:lineRule="auto"/>
        <w:ind w:right="11"/>
        <w:jc w:val="both"/>
        <w:rPr>
          <w:rFonts w:ascii="Times New Roman" w:eastAsia="Times New Roman" w:hAnsi="Times New Roman" w:cs="Times New Roman"/>
          <w:b/>
          <w:bCs/>
          <w:spacing w:val="1"/>
        </w:rPr>
      </w:pPr>
    </w:p>
    <w:p w:rsidR="002E24B8" w:rsidRPr="00514F05" w:rsidRDefault="002E24B8" w:rsidP="002E24B8">
      <w:pPr>
        <w:widowControl w:val="0"/>
        <w:autoSpaceDE w:val="0"/>
        <w:autoSpaceDN w:val="0"/>
        <w:adjustRightInd w:val="0"/>
        <w:spacing w:after="0" w:line="240" w:lineRule="auto"/>
        <w:ind w:right="11"/>
        <w:rPr>
          <w:rFonts w:ascii="Times New Roman" w:eastAsia="Times New Roman" w:hAnsi="Times New Roman" w:cs="Times New Roman"/>
          <w:spacing w:val="1"/>
          <w:w w:val="102"/>
        </w:rPr>
      </w:pPr>
      <w:r w:rsidRPr="00514F05">
        <w:rPr>
          <w:rFonts w:ascii="Times New Roman" w:eastAsia="Times New Roman" w:hAnsi="Times New Roman" w:cs="Times New Roman"/>
          <w:b/>
          <w:bCs/>
          <w:spacing w:val="1"/>
        </w:rPr>
        <w:t xml:space="preserve">Nedažnas </w:t>
      </w:r>
      <w:r w:rsidRPr="00514F05">
        <w:rPr>
          <w:rFonts w:ascii="Times New Roman" w:eastAsia="Times New Roman" w:hAnsi="Times New Roman" w:cs="Times New Roman"/>
          <w:bCs/>
          <w:spacing w:val="1"/>
        </w:rPr>
        <w:t>(</w:t>
      </w:r>
      <w:r w:rsidRPr="00514F05">
        <w:rPr>
          <w:rFonts w:ascii="Times New Roman" w:eastAsia="Times New Roman" w:hAnsi="Times New Roman" w:cs="Times New Roman"/>
          <w:bCs/>
          <w:spacing w:val="1"/>
          <w:lang w:bidi="lt-LT"/>
        </w:rPr>
        <w:t>gali pasireikšti mažiau nei 1 iš 100 žmonių</w:t>
      </w:r>
      <w:r w:rsidRPr="00514F05">
        <w:rPr>
          <w:rFonts w:ascii="Times New Roman" w:eastAsia="Times New Roman" w:hAnsi="Times New Roman" w:cs="Times New Roman"/>
          <w:bCs/>
          <w:spacing w:val="1"/>
        </w:rPr>
        <w:t xml:space="preserve">) </w:t>
      </w:r>
    </w:p>
    <w:tbl>
      <w:tblPr>
        <w:tblW w:w="0" w:type="auto"/>
        <w:tblInd w:w="108" w:type="dxa"/>
        <w:tblLayout w:type="fixed"/>
        <w:tblLook w:val="04A0" w:firstRow="1" w:lastRow="0" w:firstColumn="1" w:lastColumn="0" w:noHBand="0" w:noVBand="1"/>
      </w:tblPr>
      <w:tblGrid>
        <w:gridCol w:w="4111"/>
        <w:gridCol w:w="4111"/>
      </w:tblGrid>
      <w:tr w:rsidR="002E24B8" w:rsidRPr="00514F05" w:rsidTr="003277E4">
        <w:tc>
          <w:tcPr>
            <w:tcW w:w="4111" w:type="dxa"/>
          </w:tcPr>
          <w:p w:rsidR="002E24B8" w:rsidRPr="00514F05" w:rsidRDefault="002E24B8" w:rsidP="002E24B8">
            <w:pPr>
              <w:widowControl w:val="0"/>
              <w:numPr>
                <w:ilvl w:val="0"/>
                <w:numId w:val="4"/>
              </w:numPr>
              <w:tabs>
                <w:tab w:val="left" w:pos="432"/>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Alerginės reakcijos</w:t>
            </w:r>
          </w:p>
        </w:tc>
        <w:tc>
          <w:tcPr>
            <w:tcW w:w="4111" w:type="dxa"/>
          </w:tcPr>
          <w:p w:rsidR="002E24B8" w:rsidRPr="00514F05" w:rsidRDefault="002E24B8" w:rsidP="002E24B8">
            <w:pPr>
              <w:widowControl w:val="0"/>
              <w:numPr>
                <w:ilvl w:val="0"/>
                <w:numId w:val="4"/>
              </w:numPr>
              <w:tabs>
                <w:tab w:val="left" w:pos="461"/>
                <w:tab w:val="left" w:pos="720"/>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Širdies nepakankamumas</w:t>
            </w:r>
          </w:p>
        </w:tc>
      </w:tr>
      <w:tr w:rsidR="002E24B8" w:rsidRPr="00514F05" w:rsidTr="003277E4">
        <w:tc>
          <w:tcPr>
            <w:tcW w:w="4111" w:type="dxa"/>
          </w:tcPr>
          <w:p w:rsidR="002E24B8" w:rsidRPr="00514F05" w:rsidRDefault="002E24B8" w:rsidP="002E24B8">
            <w:pPr>
              <w:widowControl w:val="0"/>
              <w:numPr>
                <w:ilvl w:val="0"/>
                <w:numId w:val="4"/>
              </w:numPr>
              <w:tabs>
                <w:tab w:val="left" w:pos="432"/>
                <w:tab w:val="left" w:pos="502"/>
                <w:tab w:val="left" w:pos="567"/>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spacing w:val="-2"/>
                <w:w w:val="102"/>
              </w:rPr>
              <w:t>Nervingumas</w:t>
            </w:r>
          </w:p>
        </w:tc>
        <w:tc>
          <w:tcPr>
            <w:tcW w:w="4111" w:type="dxa"/>
          </w:tcPr>
          <w:p w:rsidR="002E24B8" w:rsidRPr="00514F05" w:rsidRDefault="002E24B8" w:rsidP="002E24B8">
            <w:pPr>
              <w:widowControl w:val="0"/>
              <w:numPr>
                <w:ilvl w:val="0"/>
                <w:numId w:val="4"/>
              </w:numPr>
              <w:tabs>
                <w:tab w:val="left" w:pos="461"/>
                <w:tab w:val="left" w:pos="720"/>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Nereguliarus širdies plakimas</w:t>
            </w:r>
          </w:p>
        </w:tc>
      </w:tr>
      <w:tr w:rsidR="002E24B8" w:rsidRPr="00514F05" w:rsidTr="003277E4">
        <w:tc>
          <w:tcPr>
            <w:tcW w:w="4111" w:type="dxa"/>
          </w:tcPr>
          <w:p w:rsidR="002E24B8" w:rsidRPr="00514F05" w:rsidRDefault="002E24B8" w:rsidP="002E24B8">
            <w:pPr>
              <w:widowControl w:val="0"/>
              <w:numPr>
                <w:ilvl w:val="0"/>
                <w:numId w:val="4"/>
              </w:numPr>
              <w:tabs>
                <w:tab w:val="left" w:pos="432"/>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Palpitacija</w:t>
            </w:r>
          </w:p>
        </w:tc>
        <w:tc>
          <w:tcPr>
            <w:tcW w:w="4111" w:type="dxa"/>
          </w:tcPr>
          <w:p w:rsidR="002E24B8" w:rsidRPr="00514F05" w:rsidRDefault="002E24B8" w:rsidP="002E24B8">
            <w:pPr>
              <w:widowControl w:val="0"/>
              <w:numPr>
                <w:ilvl w:val="0"/>
                <w:numId w:val="4"/>
              </w:numPr>
              <w:tabs>
                <w:tab w:val="left" w:pos="461"/>
                <w:tab w:val="left" w:pos="528"/>
                <w:tab w:val="left" w:pos="567"/>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spacing w:val="1"/>
                <w:position w:val="1"/>
              </w:rPr>
              <w:t>Krūtinės skausmas</w:t>
            </w:r>
          </w:p>
        </w:tc>
      </w:tr>
      <w:tr w:rsidR="002E24B8" w:rsidRPr="00514F05" w:rsidTr="003277E4">
        <w:tc>
          <w:tcPr>
            <w:tcW w:w="4111" w:type="dxa"/>
          </w:tcPr>
          <w:p w:rsidR="002E24B8" w:rsidRPr="00514F05" w:rsidRDefault="002E24B8" w:rsidP="002E24B8">
            <w:pPr>
              <w:widowControl w:val="0"/>
              <w:numPr>
                <w:ilvl w:val="0"/>
                <w:numId w:val="4"/>
              </w:numPr>
              <w:tabs>
                <w:tab w:val="left" w:pos="432"/>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Negalėjimas ištuštinti šlapimo pūslės</w:t>
            </w:r>
          </w:p>
        </w:tc>
        <w:tc>
          <w:tcPr>
            <w:tcW w:w="4111" w:type="dxa"/>
          </w:tcPr>
          <w:p w:rsidR="002E24B8" w:rsidRPr="00514F05" w:rsidRDefault="002E24B8" w:rsidP="002E24B8">
            <w:pPr>
              <w:widowControl w:val="0"/>
              <w:numPr>
                <w:ilvl w:val="0"/>
                <w:numId w:val="4"/>
              </w:numPr>
              <w:tabs>
                <w:tab w:val="left" w:pos="461"/>
              </w:tabs>
              <w:autoSpaceDE w:val="0"/>
              <w:autoSpaceDN w:val="0"/>
              <w:adjustRightInd w:val="0"/>
              <w:spacing w:after="0" w:line="240" w:lineRule="auto"/>
              <w:ind w:left="461" w:right="11" w:hanging="461"/>
              <w:jc w:val="both"/>
              <w:rPr>
                <w:rFonts w:ascii="Times New Roman" w:eastAsia="Times New Roman" w:hAnsi="Times New Roman" w:cs="Times New Roman"/>
              </w:rPr>
            </w:pPr>
            <w:r w:rsidRPr="00514F05">
              <w:rPr>
                <w:rFonts w:ascii="Times New Roman" w:eastAsia="Times New Roman" w:hAnsi="Times New Roman" w:cs="Times New Roman"/>
              </w:rPr>
              <w:t>Badymo ir dilgčiojimo</w:t>
            </w:r>
            <w:r w:rsidRPr="00514F05">
              <w:rPr>
                <w:rFonts w:ascii="Times New Roman" w:eastAsia="Times New Roman" w:hAnsi="Times New Roman" w:cs="Times New Roman"/>
                <w:spacing w:val="-3"/>
              </w:rPr>
              <w:t xml:space="preserve"> pojūtis rankų ir kojų pirštuose</w:t>
            </w:r>
          </w:p>
        </w:tc>
      </w:tr>
      <w:tr w:rsidR="002E24B8" w:rsidRPr="00514F05" w:rsidTr="003277E4">
        <w:tc>
          <w:tcPr>
            <w:tcW w:w="4111" w:type="dxa"/>
          </w:tcPr>
          <w:p w:rsidR="002E24B8" w:rsidRPr="00514F05" w:rsidRDefault="002E24B8" w:rsidP="002E24B8">
            <w:pPr>
              <w:widowControl w:val="0"/>
              <w:numPr>
                <w:ilvl w:val="0"/>
                <w:numId w:val="4"/>
              </w:numPr>
              <w:tabs>
                <w:tab w:val="left" w:pos="432"/>
              </w:tabs>
              <w:autoSpaceDE w:val="0"/>
              <w:autoSpaceDN w:val="0"/>
              <w:adjustRightInd w:val="0"/>
              <w:spacing w:after="0" w:line="240" w:lineRule="auto"/>
              <w:ind w:right="11"/>
              <w:jc w:val="both"/>
              <w:rPr>
                <w:rFonts w:ascii="Times New Roman" w:eastAsia="Times New Roman" w:hAnsi="Times New Roman" w:cs="Times New Roman"/>
                <w:b/>
              </w:rPr>
            </w:pPr>
            <w:r w:rsidRPr="00514F05">
              <w:rPr>
                <w:rFonts w:ascii="Times New Roman" w:eastAsia="Times New Roman" w:hAnsi="Times New Roman" w:cs="Times New Roman"/>
                <w:spacing w:val="-2"/>
                <w:w w:val="102"/>
              </w:rPr>
              <w:t>Galvos svaigimas (</w:t>
            </w:r>
            <w:r w:rsidRPr="00514F05">
              <w:rPr>
                <w:rFonts w:ascii="Times New Roman" w:eastAsia="Times New Roman" w:hAnsi="Times New Roman" w:cs="Times New Roman"/>
                <w:i/>
                <w:spacing w:val="-2"/>
                <w:w w:val="102"/>
              </w:rPr>
              <w:t>v</w:t>
            </w:r>
            <w:r w:rsidRPr="00514F05">
              <w:rPr>
                <w:rFonts w:ascii="Times New Roman" w:eastAsia="Times New Roman" w:hAnsi="Times New Roman" w:cs="Times New Roman"/>
                <w:i/>
                <w:spacing w:val="3"/>
                <w:w w:val="102"/>
              </w:rPr>
              <w:t>e</w:t>
            </w:r>
            <w:r w:rsidRPr="00514F05">
              <w:rPr>
                <w:rFonts w:ascii="Times New Roman" w:eastAsia="Times New Roman" w:hAnsi="Times New Roman" w:cs="Times New Roman"/>
                <w:i/>
                <w:w w:val="102"/>
              </w:rPr>
              <w:t>rti</w:t>
            </w:r>
            <w:r w:rsidRPr="00514F05">
              <w:rPr>
                <w:rFonts w:ascii="Times New Roman" w:eastAsia="Times New Roman" w:hAnsi="Times New Roman" w:cs="Times New Roman"/>
                <w:i/>
                <w:spacing w:val="-2"/>
                <w:w w:val="102"/>
              </w:rPr>
              <w:t>g</w:t>
            </w:r>
            <w:r w:rsidRPr="00514F05">
              <w:rPr>
                <w:rFonts w:ascii="Times New Roman" w:eastAsia="Times New Roman" w:hAnsi="Times New Roman" w:cs="Times New Roman"/>
                <w:i/>
                <w:w w:val="102"/>
              </w:rPr>
              <w:t>o</w:t>
            </w:r>
            <w:r w:rsidRPr="00514F05">
              <w:rPr>
                <w:rFonts w:ascii="Times New Roman" w:eastAsia="Times New Roman" w:hAnsi="Times New Roman" w:cs="Times New Roman"/>
                <w:w w:val="102"/>
              </w:rPr>
              <w:t>)</w:t>
            </w:r>
          </w:p>
        </w:tc>
        <w:tc>
          <w:tcPr>
            <w:tcW w:w="4111" w:type="dxa"/>
          </w:tcPr>
          <w:p w:rsidR="002E24B8" w:rsidRPr="00514F05" w:rsidRDefault="002E24B8" w:rsidP="002E24B8">
            <w:pPr>
              <w:widowControl w:val="0"/>
              <w:numPr>
                <w:ilvl w:val="0"/>
                <w:numId w:val="4"/>
              </w:numPr>
              <w:tabs>
                <w:tab w:val="left" w:pos="461"/>
                <w:tab w:val="left" w:pos="720"/>
              </w:tabs>
              <w:autoSpaceDE w:val="0"/>
              <w:autoSpaceDN w:val="0"/>
              <w:adjustRightInd w:val="0"/>
              <w:spacing w:after="0" w:line="240"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Atminties sutrikimas</w:t>
            </w:r>
          </w:p>
        </w:tc>
      </w:tr>
    </w:tbl>
    <w:p w:rsidR="002E24B8" w:rsidRPr="00514F05" w:rsidRDefault="002E24B8" w:rsidP="002E24B8">
      <w:pPr>
        <w:widowControl w:val="0"/>
        <w:tabs>
          <w:tab w:val="left" w:pos="1660"/>
          <w:tab w:val="left" w:pos="2700"/>
          <w:tab w:val="left" w:pos="3680"/>
          <w:tab w:val="left" w:pos="4560"/>
          <w:tab w:val="left" w:pos="5360"/>
          <w:tab w:val="left" w:pos="6260"/>
          <w:tab w:val="left" w:pos="7340"/>
        </w:tabs>
        <w:autoSpaceDE w:val="0"/>
        <w:autoSpaceDN w:val="0"/>
        <w:adjustRightInd w:val="0"/>
        <w:spacing w:after="0" w:line="244" w:lineRule="auto"/>
        <w:ind w:right="11"/>
        <w:jc w:val="both"/>
        <w:rPr>
          <w:rFonts w:ascii="Times New Roman" w:eastAsia="Times New Roman" w:hAnsi="Times New Roman" w:cs="Times New Roman"/>
        </w:rPr>
      </w:pPr>
    </w:p>
    <w:p w:rsidR="002E24B8" w:rsidRPr="00514F05" w:rsidRDefault="002E24B8" w:rsidP="002E24B8">
      <w:pPr>
        <w:widowControl w:val="0"/>
        <w:tabs>
          <w:tab w:val="left" w:pos="1660"/>
          <w:tab w:val="left" w:pos="2700"/>
          <w:tab w:val="left" w:pos="3680"/>
          <w:tab w:val="left" w:pos="4560"/>
          <w:tab w:val="left" w:pos="5360"/>
          <w:tab w:val="left" w:pos="6260"/>
          <w:tab w:val="left" w:pos="7340"/>
        </w:tabs>
        <w:autoSpaceDE w:val="0"/>
        <w:autoSpaceDN w:val="0"/>
        <w:adjustRightInd w:val="0"/>
        <w:spacing w:after="0" w:line="244" w:lineRule="auto"/>
        <w:ind w:right="11"/>
        <w:jc w:val="both"/>
        <w:rPr>
          <w:rFonts w:ascii="Times New Roman" w:eastAsia="Times New Roman" w:hAnsi="Times New Roman" w:cs="Times New Roman"/>
        </w:rPr>
      </w:pPr>
      <w:r w:rsidRPr="00514F05">
        <w:rPr>
          <w:rFonts w:ascii="Times New Roman" w:eastAsia="Times New Roman" w:hAnsi="Times New Roman" w:cs="Times New Roman"/>
          <w:b/>
        </w:rPr>
        <w:t xml:space="preserve">Nežinomo dažnio </w:t>
      </w:r>
      <w:r w:rsidRPr="00514F05">
        <w:rPr>
          <w:rFonts w:ascii="Times New Roman" w:eastAsia="Times New Roman" w:hAnsi="Times New Roman" w:cs="Times New Roman"/>
        </w:rPr>
        <w:t>(dažnis negali būti apskaičiuoti pagal turimus duomenis)</w:t>
      </w:r>
    </w:p>
    <w:p w:rsidR="002E24B8" w:rsidRDefault="002E24B8" w:rsidP="002E24B8">
      <w:pPr>
        <w:widowControl w:val="0"/>
        <w:tabs>
          <w:tab w:val="left" w:pos="2700"/>
          <w:tab w:val="center" w:pos="4253"/>
          <w:tab w:val="left" w:pos="4678"/>
          <w:tab w:val="left" w:pos="4820"/>
        </w:tabs>
        <w:autoSpaceDE w:val="0"/>
        <w:autoSpaceDN w:val="0"/>
        <w:adjustRightInd w:val="0"/>
        <w:spacing w:after="0" w:line="244"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        Sumišimas, haliucinacijos                     -      Širdies ritmo padažnėjimas</w:t>
      </w:r>
    </w:p>
    <w:p w:rsidR="002E24B8" w:rsidRPr="00514F05" w:rsidRDefault="002E24B8" w:rsidP="002E24B8">
      <w:pPr>
        <w:widowControl w:val="0"/>
        <w:tabs>
          <w:tab w:val="left" w:pos="2700"/>
          <w:tab w:val="left" w:pos="3680"/>
          <w:tab w:val="left" w:pos="4560"/>
          <w:tab w:val="left" w:pos="5360"/>
          <w:tab w:val="left" w:pos="6260"/>
          <w:tab w:val="left" w:pos="7340"/>
        </w:tabs>
        <w:autoSpaceDE w:val="0"/>
        <w:autoSpaceDN w:val="0"/>
        <w:adjustRightInd w:val="0"/>
        <w:spacing w:after="0" w:line="244" w:lineRule="auto"/>
        <w:ind w:right="11"/>
        <w:jc w:val="both"/>
        <w:rPr>
          <w:rFonts w:ascii="Times New Roman" w:eastAsia="Times New Roman" w:hAnsi="Times New Roman" w:cs="Times New Roman"/>
        </w:rPr>
      </w:pPr>
      <w:r w:rsidRPr="00514F05">
        <w:rPr>
          <w:rFonts w:ascii="Times New Roman" w:eastAsia="Times New Roman" w:hAnsi="Times New Roman" w:cs="Times New Roman"/>
        </w:rPr>
        <w:t xml:space="preserve">       ir orientacijos sutrikimas</w:t>
      </w:r>
      <w:r w:rsidRPr="00514F05">
        <w:rPr>
          <w:rFonts w:ascii="Times New Roman" w:eastAsia="Times New Roman" w:hAnsi="Times New Roman" w:cs="Times New Roman"/>
        </w:rPr>
        <w:tab/>
        <w:t xml:space="preserve">         -      Odos paraudimas</w:t>
      </w:r>
    </w:p>
    <w:p w:rsidR="002E24B8" w:rsidRPr="00514F05" w:rsidRDefault="002E24B8" w:rsidP="002E24B8">
      <w:pPr>
        <w:widowControl w:val="0"/>
        <w:numPr>
          <w:ilvl w:val="0"/>
          <w:numId w:val="4"/>
        </w:numPr>
        <w:tabs>
          <w:tab w:val="left" w:pos="567"/>
          <w:tab w:val="left" w:pos="3680"/>
          <w:tab w:val="left" w:pos="4560"/>
          <w:tab w:val="left" w:pos="4820"/>
          <w:tab w:val="left" w:pos="4962"/>
          <w:tab w:val="left" w:pos="5360"/>
          <w:tab w:val="left" w:pos="6260"/>
          <w:tab w:val="left" w:pos="7340"/>
        </w:tabs>
        <w:autoSpaceDE w:val="0"/>
        <w:autoSpaceDN w:val="0"/>
        <w:adjustRightInd w:val="0"/>
        <w:spacing w:after="0" w:line="244" w:lineRule="auto"/>
        <w:ind w:right="11" w:hanging="720"/>
        <w:jc w:val="both"/>
        <w:rPr>
          <w:rFonts w:ascii="Times New Roman" w:eastAsia="Times New Roman" w:hAnsi="Times New Roman" w:cs="Times New Roman"/>
        </w:rPr>
      </w:pPr>
      <w:r w:rsidRPr="00514F05">
        <w:rPr>
          <w:rFonts w:ascii="Times New Roman" w:eastAsia="Times New Roman" w:hAnsi="Times New Roman" w:cs="Times New Roman"/>
        </w:rPr>
        <w:t>Rėmuo</w:t>
      </w:r>
      <w:r w:rsidRPr="00514F05">
        <w:rPr>
          <w:rFonts w:ascii="Times New Roman" w:eastAsia="Times New Roman" w:hAnsi="Times New Roman" w:cs="Times New Roman"/>
        </w:rPr>
        <w:tab/>
        <w:t xml:space="preserve">         -      Odos sausmė</w:t>
      </w:r>
    </w:p>
    <w:p w:rsidR="002E24B8" w:rsidRPr="00514F05" w:rsidRDefault="002E24B8" w:rsidP="002E24B8">
      <w:pPr>
        <w:widowControl w:val="0"/>
        <w:numPr>
          <w:ilvl w:val="0"/>
          <w:numId w:val="4"/>
        </w:numPr>
        <w:tabs>
          <w:tab w:val="left" w:pos="567"/>
          <w:tab w:val="left" w:pos="2700"/>
          <w:tab w:val="left" w:pos="3680"/>
          <w:tab w:val="left" w:pos="4560"/>
          <w:tab w:val="left" w:pos="5360"/>
          <w:tab w:val="left" w:pos="6260"/>
          <w:tab w:val="left" w:pos="7340"/>
        </w:tabs>
        <w:autoSpaceDE w:val="0"/>
        <w:autoSpaceDN w:val="0"/>
        <w:adjustRightInd w:val="0"/>
        <w:spacing w:after="0" w:line="244" w:lineRule="auto"/>
        <w:ind w:right="11" w:hanging="720"/>
        <w:jc w:val="both"/>
        <w:rPr>
          <w:rFonts w:ascii="Times New Roman" w:eastAsia="Times New Roman" w:hAnsi="Times New Roman" w:cs="Times New Roman"/>
        </w:rPr>
      </w:pPr>
      <w:r w:rsidRPr="00514F05">
        <w:rPr>
          <w:rFonts w:ascii="Times New Roman" w:eastAsia="Times New Roman" w:hAnsi="Times New Roman" w:cs="Times New Roman"/>
        </w:rPr>
        <w:t>Vėmimas</w:t>
      </w:r>
    </w:p>
    <w:p w:rsidR="002E24B8" w:rsidRPr="00514F05" w:rsidRDefault="002E24B8" w:rsidP="002E24B8">
      <w:pPr>
        <w:widowControl w:val="0"/>
        <w:tabs>
          <w:tab w:val="left" w:pos="1660"/>
          <w:tab w:val="left" w:pos="2700"/>
          <w:tab w:val="left" w:pos="3680"/>
          <w:tab w:val="left" w:pos="4560"/>
          <w:tab w:val="left" w:pos="5360"/>
          <w:tab w:val="left" w:pos="6260"/>
          <w:tab w:val="left" w:pos="7340"/>
        </w:tabs>
        <w:autoSpaceDE w:val="0"/>
        <w:autoSpaceDN w:val="0"/>
        <w:adjustRightInd w:val="0"/>
        <w:spacing w:after="0" w:line="244" w:lineRule="auto"/>
        <w:ind w:right="11"/>
        <w:jc w:val="both"/>
        <w:rPr>
          <w:rFonts w:ascii="Times New Roman" w:eastAsia="Times New Roman" w:hAnsi="Times New Roman" w:cs="Times New Roman"/>
        </w:rPr>
      </w:pPr>
    </w:p>
    <w:p w:rsidR="002E24B8" w:rsidRPr="00514F05" w:rsidRDefault="002E24B8" w:rsidP="002E24B8">
      <w:pPr>
        <w:widowControl w:val="0"/>
        <w:tabs>
          <w:tab w:val="left" w:pos="1660"/>
          <w:tab w:val="left" w:pos="2700"/>
          <w:tab w:val="left" w:pos="3680"/>
          <w:tab w:val="left" w:pos="4560"/>
          <w:tab w:val="left" w:pos="5360"/>
          <w:tab w:val="left" w:pos="6260"/>
          <w:tab w:val="left" w:pos="7340"/>
        </w:tabs>
        <w:autoSpaceDE w:val="0"/>
        <w:autoSpaceDN w:val="0"/>
        <w:adjustRightInd w:val="0"/>
        <w:spacing w:after="0" w:line="244" w:lineRule="auto"/>
        <w:ind w:right="11"/>
        <w:rPr>
          <w:rFonts w:ascii="Times New Roman" w:eastAsia="Times New Roman" w:hAnsi="Times New Roman" w:cs="Times New Roman"/>
        </w:rPr>
      </w:pPr>
      <w:r w:rsidRPr="00514F05">
        <w:rPr>
          <w:rFonts w:ascii="Times New Roman" w:eastAsia="Times New Roman" w:hAnsi="Times New Roman" w:cs="Times New Roman"/>
        </w:rPr>
        <w:t>Buvo pranešta ir apie silpnaprotystės simptomų pasunkėjimo pacientams, kurie buvo gydomi nuo silpnaprotystės, atvejus.</w:t>
      </w:r>
    </w:p>
    <w:p w:rsidR="002E24B8" w:rsidRPr="00514F05" w:rsidRDefault="002E24B8" w:rsidP="002E24B8">
      <w:pPr>
        <w:tabs>
          <w:tab w:val="center" w:pos="4819"/>
          <w:tab w:val="right" w:pos="9638"/>
        </w:tabs>
        <w:spacing w:after="0" w:line="240" w:lineRule="auto"/>
        <w:rPr>
          <w:rFonts w:ascii="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Pranešimas apie šalutinį poveikį</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noProof/>
        </w:rPr>
        <w:t>Jeigu pasireiškė šalutinis poveikis, įskaitant šiame lapelyje nenurodytą, pasakykite gydytojui arba vaistininkui</w:t>
      </w:r>
      <w:r w:rsidRPr="00514F05">
        <w:rPr>
          <w:rFonts w:ascii="Times New Roman" w:eastAsia="Times New Roman" w:hAnsi="Times New Roman" w:cs="Times New Roman"/>
        </w:rPr>
        <w:t>.</w:t>
      </w:r>
      <w:r w:rsidRPr="00514F05">
        <w:rPr>
          <w:rFonts w:ascii="Times New Roman" w:eastAsia="Times New Roman" w:hAnsi="Times New Roman" w:cs="Times New Roman"/>
          <w:noProof/>
        </w:rPr>
        <w:t xml:space="preserve"> Apie šalutinį poveikį taip pat galite pranešti tiesiogiai, užpildę interneto svetainėje </w:t>
      </w:r>
      <w:hyperlink r:id="rId5" w:history="1">
        <w:r w:rsidRPr="00514F05">
          <w:rPr>
            <w:rFonts w:ascii="Times New Roman" w:eastAsia="SimSun" w:hAnsi="Times New Roman" w:cs="Times New Roman"/>
            <w:noProof/>
            <w:color w:val="0000FF"/>
            <w:u w:val="single"/>
          </w:rPr>
          <w:t>www.vvkt.lt</w:t>
        </w:r>
      </w:hyperlink>
      <w:r w:rsidRPr="00514F05">
        <w:rPr>
          <w:rFonts w:ascii="Times New Roman" w:eastAsia="Times New Roman" w:hAnsi="Times New Roman" w:cs="Times New Roman"/>
          <w:noProof/>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514F05">
        <w:rPr>
          <w:rFonts w:ascii="Times New Roman" w:eastAsia="Calibri" w:hAnsi="Times New Roman" w:cs="Times New Roman"/>
          <w:noProof/>
          <w:lang w:eastAsia="zh-CN"/>
        </w:rPr>
        <w:t xml:space="preserve">elefonu (8 6) 143 35 34; </w:t>
      </w:r>
      <w:r w:rsidRPr="00514F05">
        <w:rPr>
          <w:rFonts w:ascii="Times New Roman" w:eastAsia="Times New Roman" w:hAnsi="Times New Roman" w:cs="Times New Roman"/>
          <w:noProof/>
        </w:rPr>
        <w:t xml:space="preserve">el. paštu </w:t>
      </w:r>
      <w:hyperlink r:id="rId6" w:history="1">
        <w:r w:rsidRPr="00514F05">
          <w:rPr>
            <w:rFonts w:ascii="Times New Roman" w:eastAsia="SimSun" w:hAnsi="Times New Roman" w:cs="Times New Roman"/>
            <w:noProof/>
            <w:color w:val="0000FF"/>
            <w:u w:val="single"/>
          </w:rPr>
          <w:t>NepageidaujamaR@vvkt.lt</w:t>
        </w:r>
      </w:hyperlink>
      <w:r w:rsidRPr="00514F05">
        <w:rPr>
          <w:rFonts w:ascii="Times New Roman" w:eastAsia="Times New Roman" w:hAnsi="Times New Roman" w:cs="Times New Roman"/>
          <w:noProof/>
        </w:rPr>
        <w:t xml:space="preserve">, per Valstybinės vaistų kontrolės tarnybos prie Lietuvos Respublikos sveikatos apsaugos ministerijos interneto svetainę (adresu </w:t>
      </w:r>
      <w:hyperlink r:id="rId7" w:history="1">
        <w:r w:rsidRPr="00514F05">
          <w:rPr>
            <w:rFonts w:ascii="Times New Roman" w:eastAsia="Times New Roman" w:hAnsi="Times New Roman" w:cs="Times New Roman"/>
            <w:noProof/>
            <w:color w:val="0000FF"/>
            <w:u w:val="single"/>
          </w:rPr>
          <w:t>http://www.vvkt.lt</w:t>
        </w:r>
      </w:hyperlink>
      <w:r w:rsidRPr="00514F05">
        <w:rPr>
          <w:rFonts w:ascii="Times New Roman" w:eastAsia="Times New Roman" w:hAnsi="Times New Roman" w:cs="Times New Roman"/>
          <w:noProof/>
        </w:rPr>
        <w:t xml:space="preserve"> ). Pranešdami apie šalutinį poveikį galite mums padėti gauti daugiau informacijos apie šio vaisto saugumą</w:t>
      </w:r>
      <w:r w:rsidRPr="00514F05">
        <w:rPr>
          <w:rFonts w:ascii="Times New Roman" w:eastAsia="Times New Roman" w:hAnsi="Times New Roman" w:cs="Times New Roman"/>
        </w:rPr>
        <w:t>.</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tabs>
          <w:tab w:val="left" w:pos="567"/>
        </w:tabs>
        <w:spacing w:after="0" w:line="240" w:lineRule="auto"/>
        <w:rPr>
          <w:rFonts w:ascii="Times New Roman" w:eastAsia="Times New Roman" w:hAnsi="Times New Roman" w:cs="Times New Roman"/>
          <w:b/>
        </w:rPr>
      </w:pPr>
      <w:bookmarkStart w:id="8" w:name="_Toc129243143"/>
      <w:bookmarkStart w:id="9" w:name="_Toc129243268"/>
      <w:r w:rsidRPr="00514F05">
        <w:rPr>
          <w:rFonts w:ascii="Times New Roman" w:eastAsia="Times New Roman" w:hAnsi="Times New Roman" w:cs="Times New Roman"/>
          <w:b/>
        </w:rPr>
        <w:t>5.</w:t>
      </w:r>
      <w:r w:rsidRPr="00514F05">
        <w:rPr>
          <w:rFonts w:ascii="Times New Roman" w:eastAsia="Times New Roman" w:hAnsi="Times New Roman" w:cs="Times New Roman"/>
          <w:b/>
        </w:rPr>
        <w:tab/>
        <w:t>Kaip laikyti Uroflow</w:t>
      </w:r>
      <w:bookmarkEnd w:id="8"/>
      <w:bookmarkEnd w:id="9"/>
    </w:p>
    <w:p w:rsidR="002E24B8" w:rsidRPr="00514F05" w:rsidRDefault="002E24B8" w:rsidP="002E24B8">
      <w:pPr>
        <w:spacing w:after="0" w:line="240" w:lineRule="auto"/>
        <w:rPr>
          <w:rFonts w:ascii="Times New Roman" w:eastAsia="Times New Roman" w:hAnsi="Times New Roman" w:cs="Times New Roman"/>
        </w:rPr>
      </w:pP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lang w:bidi="lt-LT"/>
        </w:rPr>
        <w:t>Šį vaistą laikykite vaikams nepastebimoje ir nepasiekiamoje vietoje.</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 xml:space="preserve">Ant kartono dėžutės, buteliuko etiketės po „Tinka iki“  ir lizdinės plokštelės  </w:t>
      </w:r>
      <w:r w:rsidRPr="00514F05">
        <w:rPr>
          <w:rFonts w:ascii="Times New Roman" w:eastAsia="Times New Roman" w:hAnsi="Times New Roman" w:cs="Times New Roman"/>
          <w:highlight w:val="lightGray"/>
        </w:rPr>
        <w:t>po „EXP“</w:t>
      </w:r>
      <w:r w:rsidRPr="00514F05">
        <w:rPr>
          <w:rFonts w:ascii="Times New Roman" w:eastAsia="Times New Roman" w:hAnsi="Times New Roman" w:cs="Times New Roman"/>
        </w:rPr>
        <w:t xml:space="preserve"> nurodytam tinkamumo laikui pasibaigus, šio vaisto vartoti negalima. Vaistas tinkamas vartoti iki paskutinės nurodyto mėnesio dienos.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 xml:space="preserve">Laikyti ne aukštesnėje kaip </w:t>
      </w:r>
      <w:r>
        <w:rPr>
          <w:rFonts w:ascii="Times New Roman" w:eastAsia="Times New Roman" w:hAnsi="Times New Roman" w:cs="Times New Roman"/>
        </w:rPr>
        <w:t>30</w:t>
      </w:r>
      <w:r w:rsidRPr="00514F05">
        <w:rPr>
          <w:rFonts w:ascii="Times New Roman" w:eastAsia="Times New Roman" w:hAnsi="Times New Roman" w:cs="Times New Roman"/>
        </w:rPr>
        <w:t> </w:t>
      </w:r>
      <w:r w:rsidRPr="00514F05">
        <w:rPr>
          <w:rFonts w:ascii="Times New Roman" w:eastAsia="Times New Roman" w:hAnsi="Times New Roman" w:cs="Times New Roman"/>
        </w:rPr>
        <w:sym w:font="Symbol" w:char="F0B0"/>
      </w:r>
      <w:r w:rsidRPr="00514F05">
        <w:rPr>
          <w:rFonts w:ascii="Times New Roman" w:eastAsia="Times New Roman" w:hAnsi="Times New Roman" w:cs="Times New Roman"/>
        </w:rPr>
        <w:t>C temperatūroje.</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DTPE buteliukas: po pirmojo buteliuko atidarymo tinkamumo laikas yra 200 dienų.</w:t>
      </w:r>
    </w:p>
    <w:p w:rsidR="002E24B8" w:rsidRPr="00514F05" w:rsidRDefault="002E24B8" w:rsidP="002E24B8">
      <w:pPr>
        <w:numPr>
          <w:ilvl w:val="12"/>
          <w:numId w:val="0"/>
        </w:numPr>
        <w:spacing w:after="0" w:line="240" w:lineRule="auto"/>
        <w:ind w:right="-2"/>
        <w:rPr>
          <w:rFonts w:ascii="Times New Roman" w:eastAsia="Times New Roman" w:hAnsi="Times New Roman" w:cs="Times New Roman"/>
        </w:rPr>
      </w:pPr>
    </w:p>
    <w:p w:rsidR="002E24B8" w:rsidRPr="00514F05" w:rsidRDefault="002E24B8" w:rsidP="002E24B8">
      <w:pPr>
        <w:numPr>
          <w:ilvl w:val="12"/>
          <w:numId w:val="0"/>
        </w:numPr>
        <w:spacing w:after="0" w:line="240" w:lineRule="auto"/>
        <w:ind w:right="-2"/>
        <w:rPr>
          <w:rFonts w:ascii="Times New Roman" w:eastAsia="Times New Roman" w:hAnsi="Times New Roman" w:cs="Times New Roman"/>
        </w:rPr>
      </w:pPr>
      <w:r w:rsidRPr="00514F05">
        <w:rPr>
          <w:rFonts w:ascii="Times New Roman" w:eastAsia="Times New Roman" w:hAnsi="Times New Roman" w:cs="Times New Roman"/>
        </w:rPr>
        <w:t xml:space="preserve">Vaistų negalima </w:t>
      </w:r>
      <w:r w:rsidRPr="00514F05">
        <w:rPr>
          <w:rFonts w:ascii="Times New Roman" w:eastAsia="Times New Roman" w:hAnsi="Times New Roman" w:cs="Times New Roman"/>
          <w:lang w:bidi="lt-LT"/>
        </w:rPr>
        <w:t>išmesti</w:t>
      </w:r>
      <w:r w:rsidRPr="00514F05">
        <w:rPr>
          <w:rFonts w:ascii="Times New Roman" w:eastAsia="Times New Roman" w:hAnsi="Times New Roman" w:cs="Times New Roman"/>
        </w:rPr>
        <w:t xml:space="preserve"> į kanalizaciją arba su buitinėmis atliekomis. Kaip </w:t>
      </w:r>
      <w:r w:rsidRPr="00514F05">
        <w:rPr>
          <w:rFonts w:ascii="Times New Roman" w:eastAsia="Times New Roman" w:hAnsi="Times New Roman" w:cs="Times New Roman"/>
          <w:lang w:bidi="lt-LT"/>
        </w:rPr>
        <w:t>išmesti</w:t>
      </w:r>
      <w:r w:rsidRPr="00514F05">
        <w:rPr>
          <w:rFonts w:ascii="Times New Roman" w:eastAsia="Times New Roman" w:hAnsi="Times New Roman" w:cs="Times New Roman"/>
        </w:rPr>
        <w:t xml:space="preserve"> nereikalingus vaistus, klauskite vaistininko. Šios priemonės padės apsaugoti aplinką.</w:t>
      </w:r>
    </w:p>
    <w:p w:rsidR="002E24B8" w:rsidRPr="00514F05" w:rsidRDefault="002E24B8" w:rsidP="002E24B8">
      <w:pPr>
        <w:spacing w:after="0" w:line="240" w:lineRule="auto"/>
        <w:rPr>
          <w:rFonts w:ascii="Times New Roman" w:eastAsia="Times New Roman" w:hAnsi="Times New Roman" w:cs="Times New Roman"/>
          <w:b/>
        </w:rPr>
      </w:pPr>
      <w:bookmarkStart w:id="10" w:name="_Toc129243269"/>
      <w:bookmarkStart w:id="11" w:name="_Toc129243144"/>
    </w:p>
    <w:p w:rsidR="002E24B8" w:rsidRPr="00514F05" w:rsidRDefault="002E24B8" w:rsidP="002E24B8">
      <w:pPr>
        <w:spacing w:after="0" w:line="240" w:lineRule="auto"/>
        <w:rPr>
          <w:rFonts w:ascii="Times New Roman" w:eastAsia="Times New Roman" w:hAnsi="Times New Roman" w:cs="Times New Roman"/>
          <w:b/>
        </w:rPr>
      </w:pPr>
    </w:p>
    <w:bookmarkEnd w:id="10"/>
    <w:bookmarkEnd w:id="11"/>
    <w:p w:rsidR="002E24B8" w:rsidRPr="00514F05" w:rsidRDefault="002E24B8" w:rsidP="002E24B8">
      <w:pPr>
        <w:tabs>
          <w:tab w:val="left" w:pos="567"/>
        </w:tabs>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6.</w:t>
      </w:r>
      <w:r w:rsidRPr="00514F05">
        <w:rPr>
          <w:rFonts w:ascii="Times New Roman" w:eastAsia="Times New Roman" w:hAnsi="Times New Roman" w:cs="Times New Roman"/>
          <w:b/>
        </w:rPr>
        <w:tab/>
        <w:t>Pakuotės turinys ir kita informacija</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rPr>
        <w:t>Uroflow sudėtis</w:t>
      </w:r>
    </w:p>
    <w:p w:rsidR="002E24B8" w:rsidRDefault="002E24B8" w:rsidP="002E24B8">
      <w:pPr>
        <w:tabs>
          <w:tab w:val="left" w:pos="567"/>
        </w:tabs>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w:t>
      </w:r>
      <w:r w:rsidRPr="00514F05">
        <w:rPr>
          <w:rFonts w:ascii="Times New Roman" w:eastAsia="Times New Roman" w:hAnsi="Times New Roman" w:cs="Times New Roman"/>
        </w:rPr>
        <w:tab/>
        <w:t>Veiklioji Uroflow 4 mg pailginto atpalaidavimo kietųjų kapsulių medžiaga yra 4 mg tolterodino tartrato, atitinkančio 2,74 mg tolterodino.</w:t>
      </w:r>
    </w:p>
    <w:p w:rsidR="002E24B8" w:rsidRPr="00514F05" w:rsidRDefault="002E24B8" w:rsidP="002E24B8">
      <w:pPr>
        <w:spacing w:after="0" w:line="240" w:lineRule="auto"/>
        <w:ind w:left="1247" w:hangingChars="567" w:hanging="1247"/>
        <w:rPr>
          <w:rFonts w:ascii="Times New Roman" w:eastAsia="Times New Roman" w:hAnsi="Times New Roman" w:cs="Times New Roman"/>
        </w:rPr>
      </w:pPr>
    </w:p>
    <w:p w:rsidR="002E24B8" w:rsidRPr="00514F05" w:rsidRDefault="002E24B8" w:rsidP="002E24B8">
      <w:pPr>
        <w:numPr>
          <w:ilvl w:val="0"/>
          <w:numId w:val="1"/>
        </w:numPr>
        <w:tabs>
          <w:tab w:val="left" w:pos="567"/>
        </w:tabs>
        <w:spacing w:after="0" w:line="240" w:lineRule="auto"/>
        <w:ind w:left="1247" w:hangingChars="567" w:hanging="1247"/>
        <w:rPr>
          <w:rFonts w:ascii="Times New Roman" w:eastAsia="Times New Roman" w:hAnsi="Times New Roman" w:cs="Times New Roman"/>
        </w:rPr>
      </w:pPr>
      <w:r w:rsidRPr="00514F05">
        <w:rPr>
          <w:rFonts w:ascii="Times New Roman" w:eastAsia="Times New Roman" w:hAnsi="Times New Roman" w:cs="Times New Roman"/>
        </w:rPr>
        <w:t>Pagalbinės medžiagos</w:t>
      </w:r>
    </w:p>
    <w:p w:rsidR="002E24B8" w:rsidRDefault="002E24B8" w:rsidP="002E24B8">
      <w:pPr>
        <w:spacing w:after="0" w:line="240" w:lineRule="auto"/>
        <w:ind w:left="526"/>
        <w:rPr>
          <w:rFonts w:ascii="Times New Roman" w:eastAsia="Times New Roman" w:hAnsi="Times New Roman" w:cs="Times New Roman"/>
        </w:rPr>
      </w:pPr>
      <w:r w:rsidRPr="00514F05">
        <w:rPr>
          <w:rFonts w:ascii="Times New Roman" w:eastAsia="Times New Roman" w:hAnsi="Times New Roman" w:cs="Times New Roman"/>
        </w:rPr>
        <w:t>Laktozė monohidratas, mikrokristalinė celiuliozė, polivinilacetatas, povidonas, silicio dioksidas, natrio laurilsulfatas, dokuzato natrio druska, magnio stearatas ir hidroksipropilmetilceliuliozė.</w:t>
      </w:r>
    </w:p>
    <w:p w:rsidR="002E24B8" w:rsidRPr="00514F05" w:rsidRDefault="002E24B8" w:rsidP="002E24B8">
      <w:pPr>
        <w:spacing w:after="0" w:line="240" w:lineRule="auto"/>
        <w:ind w:left="526"/>
        <w:rPr>
          <w:rFonts w:ascii="Times New Roman" w:eastAsia="Times New Roman" w:hAnsi="Times New Roman" w:cs="Times New Roman"/>
        </w:rPr>
      </w:pPr>
      <w:r w:rsidRPr="00514F05">
        <w:rPr>
          <w:rFonts w:ascii="Times New Roman" w:eastAsia="Times New Roman" w:hAnsi="Times New Roman" w:cs="Times New Roman"/>
          <w:i/>
        </w:rPr>
        <w:t>Kapsulės sudėtis</w:t>
      </w:r>
      <w:r w:rsidRPr="00514F05">
        <w:rPr>
          <w:rFonts w:ascii="Times New Roman" w:eastAsia="Times New Roman" w:hAnsi="Times New Roman" w:cs="Times New Roman"/>
        </w:rPr>
        <w:t>: indigokarminas (E 132), titano dioksidas (E 171) ir želatina.</w:t>
      </w:r>
    </w:p>
    <w:p w:rsidR="002E24B8" w:rsidRDefault="002E24B8" w:rsidP="002E24B8">
      <w:pPr>
        <w:spacing w:after="0" w:line="240" w:lineRule="auto"/>
        <w:ind w:left="526"/>
        <w:rPr>
          <w:rFonts w:ascii="Times New Roman" w:eastAsia="Times New Roman" w:hAnsi="Times New Roman" w:cs="Times New Roman"/>
        </w:rPr>
      </w:pPr>
      <w:r w:rsidRPr="00514F05">
        <w:rPr>
          <w:rFonts w:ascii="Times New Roman" w:eastAsia="Times New Roman" w:hAnsi="Times New Roman" w:cs="Times New Roman"/>
          <w:i/>
        </w:rPr>
        <w:t>Dangalo sudėtis</w:t>
      </w:r>
      <w:r w:rsidRPr="00514F05">
        <w:rPr>
          <w:rFonts w:ascii="Times New Roman" w:eastAsia="Times New Roman" w:hAnsi="Times New Roman" w:cs="Times New Roman"/>
        </w:rPr>
        <w:t>: etilceliuliozė, trietilo citratas, metakrilo rūgšties ir etilakrilato kopolimeras, 1,2-propilenglikolis.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b/>
        </w:rPr>
        <w:t>Uroflow išvaizda ir kiekis pakuotėje</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Uroflow pailginto atpalaidavimo kietosios kapsulės skirtos vartoti kartą per parą.</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 xml:space="preserve">Uroflow 4 mg pailginto atpalaidavimo kietosios kapsulės </w:t>
      </w:r>
      <w:r w:rsidRPr="00514F05">
        <w:rPr>
          <w:rFonts w:ascii="Times New Roman" w:eastAsia="Times New Roman" w:hAnsi="Times New Roman" w:cs="Times New Roman"/>
          <w:lang w:val="en-GB"/>
        </w:rPr>
        <w:t xml:space="preserve">(19,4×6,9 mm) </w:t>
      </w:r>
      <w:r w:rsidRPr="00514F05">
        <w:rPr>
          <w:rFonts w:ascii="Times New Roman" w:eastAsia="Times New Roman" w:hAnsi="Times New Roman" w:cs="Times New Roman"/>
        </w:rPr>
        <w:t>yra nepermatomos, šviesiai mėlynos spalvos.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u w:val="single"/>
        </w:rPr>
      </w:pPr>
      <w:r w:rsidRPr="00514F05">
        <w:rPr>
          <w:rFonts w:ascii="Times New Roman" w:eastAsia="Times New Roman" w:hAnsi="Times New Roman" w:cs="Times New Roman"/>
          <w:bCs/>
          <w:u w:val="single"/>
        </w:rPr>
        <w:t>Pakuotės dydžiai</w:t>
      </w:r>
    </w:p>
    <w:p w:rsidR="002E24B8" w:rsidRDefault="002E24B8" w:rsidP="002E24B8">
      <w:pPr>
        <w:spacing w:after="0" w:line="240" w:lineRule="auto"/>
        <w:rPr>
          <w:rFonts w:ascii="Times New Roman" w:eastAsia="Times New Roman" w:hAnsi="Times New Roman" w:cs="Times New Roman"/>
          <w:spacing w:val="3"/>
          <w:position w:val="1"/>
        </w:rPr>
      </w:pPr>
      <w:r w:rsidRPr="00514F05">
        <w:rPr>
          <w:rFonts w:ascii="Times New Roman" w:eastAsia="Times New Roman" w:hAnsi="Times New Roman" w:cs="Times New Roman"/>
        </w:rPr>
        <w:t xml:space="preserve">Lizdinių plokštelių pakuotė, kurioje yra </w:t>
      </w:r>
      <w:r w:rsidRPr="00514F05">
        <w:rPr>
          <w:rFonts w:ascii="Times New Roman" w:eastAsia="Times New Roman" w:hAnsi="Times New Roman" w:cs="Times New Roman"/>
          <w:w w:val="102"/>
        </w:rPr>
        <w:t xml:space="preserve">7, 14, </w:t>
      </w:r>
      <w:r w:rsidRPr="00514F05">
        <w:rPr>
          <w:rFonts w:ascii="Times New Roman" w:eastAsia="Times New Roman" w:hAnsi="Times New Roman" w:cs="Times New Roman"/>
        </w:rPr>
        <w:t>28, 49, 84 arba 98</w:t>
      </w:r>
      <w:r w:rsidRPr="00514F05">
        <w:rPr>
          <w:rFonts w:ascii="Times New Roman" w:eastAsia="Times New Roman" w:hAnsi="Times New Roman" w:cs="Times New Roman"/>
          <w:w w:val="102"/>
        </w:rPr>
        <w:t xml:space="preserve"> </w:t>
      </w:r>
      <w:r w:rsidRPr="00514F05">
        <w:rPr>
          <w:rFonts w:ascii="Times New Roman" w:eastAsia="Times New Roman" w:hAnsi="Times New Roman" w:cs="Times New Roman"/>
          <w:spacing w:val="-64"/>
        </w:rPr>
        <w:t xml:space="preserve"> </w:t>
      </w:r>
      <w:r w:rsidRPr="00514F05">
        <w:rPr>
          <w:rFonts w:ascii="Times New Roman" w:eastAsia="Times New Roman" w:hAnsi="Times New Roman" w:cs="Times New Roman"/>
        </w:rPr>
        <w:t>pailginto atpalaidavimo kietosios kapsulės.</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DTPE</w:t>
      </w:r>
      <w:r w:rsidRPr="00514F05">
        <w:rPr>
          <w:rFonts w:ascii="Times New Roman" w:eastAsia="Times New Roman" w:hAnsi="Times New Roman" w:cs="Times New Roman"/>
          <w:spacing w:val="6"/>
        </w:rPr>
        <w:t xml:space="preserve"> buteliukai, kurių kiekviename yra </w:t>
      </w:r>
      <w:r w:rsidRPr="00514F05">
        <w:rPr>
          <w:rFonts w:ascii="Times New Roman" w:eastAsia="Times New Roman" w:hAnsi="Times New Roman" w:cs="Times New Roman"/>
        </w:rPr>
        <w:t>30, 100 arba 200 pailginto atpalaidavimo kietųjų kapsulių.</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Gali būti tiekiamos ne visų dydžių pakuotės.</w:t>
      </w: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b/>
        </w:rPr>
      </w:pPr>
      <w:r w:rsidRPr="00514F05">
        <w:rPr>
          <w:rFonts w:ascii="Times New Roman" w:eastAsia="Times New Roman" w:hAnsi="Times New Roman" w:cs="Times New Roman"/>
          <w:b/>
          <w:szCs w:val="20"/>
        </w:rPr>
        <w:t>Registruotojas</w:t>
      </w:r>
      <w:r w:rsidRPr="00514F05">
        <w:rPr>
          <w:rFonts w:ascii="Times New Roman" w:eastAsia="Times New Roman" w:hAnsi="Times New Roman" w:cs="Times New Roman"/>
          <w:szCs w:val="20"/>
        </w:rPr>
        <w:t xml:space="preserve"> </w:t>
      </w:r>
      <w:r w:rsidRPr="00514F05">
        <w:rPr>
          <w:rFonts w:ascii="Times New Roman" w:eastAsia="Times New Roman" w:hAnsi="Times New Roman" w:cs="Times New Roman"/>
          <w:b/>
        </w:rPr>
        <w:t>ir gamintojas</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i/>
        </w:rPr>
      </w:pPr>
      <w:r w:rsidRPr="00514F05">
        <w:rPr>
          <w:rFonts w:ascii="Times New Roman" w:eastAsia="Times New Roman" w:hAnsi="Times New Roman" w:cs="Times New Roman"/>
          <w:i/>
        </w:rPr>
        <w:t>Registruotojas</w:t>
      </w:r>
    </w:p>
    <w:p w:rsidR="002E24B8" w:rsidRPr="00514F05" w:rsidRDefault="002E24B8" w:rsidP="002E24B8">
      <w:pPr>
        <w:spacing w:after="0" w:line="240" w:lineRule="auto"/>
        <w:rPr>
          <w:rFonts w:ascii="Times New Roman" w:eastAsia="Times New Roman" w:hAnsi="Times New Roman" w:cs="Times New Roman"/>
          <w:lang w:bidi="mni-IN"/>
        </w:rPr>
      </w:pPr>
      <w:r w:rsidRPr="00514F05">
        <w:rPr>
          <w:rFonts w:ascii="Times New Roman" w:eastAsia="Times New Roman" w:hAnsi="Times New Roman" w:cs="Times New Roman"/>
          <w:lang w:bidi="mni-IN"/>
        </w:rPr>
        <w:t>Zentiva, k.s.</w:t>
      </w:r>
    </w:p>
    <w:p w:rsidR="002E24B8" w:rsidRPr="00514F05" w:rsidRDefault="002E24B8" w:rsidP="002E24B8">
      <w:pPr>
        <w:tabs>
          <w:tab w:val="left" w:pos="567"/>
        </w:tabs>
        <w:spacing w:after="0" w:line="240" w:lineRule="auto"/>
        <w:rPr>
          <w:rFonts w:ascii="Times New Roman" w:eastAsia="Times New Roman" w:hAnsi="Times New Roman" w:cs="Times New Roman"/>
          <w:lang w:bidi="mni-IN"/>
        </w:rPr>
      </w:pPr>
      <w:r w:rsidRPr="00514F05">
        <w:rPr>
          <w:rFonts w:ascii="Times New Roman" w:eastAsia="Times New Roman" w:hAnsi="Times New Roman" w:cs="Times New Roman"/>
          <w:lang w:bidi="mni-IN"/>
        </w:rPr>
        <w:t>U kabelovny 130</w:t>
      </w:r>
    </w:p>
    <w:p w:rsidR="002E24B8" w:rsidRPr="00514F05" w:rsidRDefault="002E24B8" w:rsidP="002E24B8">
      <w:pPr>
        <w:tabs>
          <w:tab w:val="left" w:pos="567"/>
        </w:tabs>
        <w:spacing w:after="0" w:line="240" w:lineRule="auto"/>
        <w:rPr>
          <w:rFonts w:ascii="Times New Roman" w:eastAsia="Times New Roman" w:hAnsi="Times New Roman" w:cs="Times New Roman"/>
          <w:lang w:bidi="mni-IN"/>
        </w:rPr>
      </w:pPr>
      <w:r w:rsidRPr="00514F05">
        <w:rPr>
          <w:rFonts w:ascii="Times New Roman" w:eastAsia="Times New Roman" w:hAnsi="Times New Roman" w:cs="Times New Roman"/>
          <w:lang w:bidi="mni-IN"/>
        </w:rPr>
        <w:t>Dolní Měcholupy</w:t>
      </w:r>
    </w:p>
    <w:p w:rsidR="002E24B8" w:rsidRPr="00514F05" w:rsidRDefault="002E24B8" w:rsidP="002E24B8">
      <w:pPr>
        <w:tabs>
          <w:tab w:val="left" w:pos="567"/>
        </w:tabs>
        <w:spacing w:after="0" w:line="240" w:lineRule="auto"/>
        <w:rPr>
          <w:rFonts w:ascii="Times New Roman" w:eastAsia="Times New Roman" w:hAnsi="Times New Roman" w:cs="Times New Roman"/>
          <w:lang w:bidi="mni-IN"/>
        </w:rPr>
      </w:pPr>
      <w:r w:rsidRPr="00514F05">
        <w:rPr>
          <w:rFonts w:ascii="Times New Roman" w:eastAsia="Times New Roman" w:hAnsi="Times New Roman" w:cs="Times New Roman"/>
          <w:lang w:bidi="mni-IN"/>
        </w:rPr>
        <w:t>102 37, Praha 10</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lang w:val="fr-FR" w:bidi="mni-IN"/>
        </w:rPr>
        <w:t>Čekija</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i/>
        </w:rPr>
      </w:pPr>
      <w:r w:rsidRPr="00514F05">
        <w:rPr>
          <w:rFonts w:ascii="Times New Roman" w:eastAsia="Times New Roman" w:hAnsi="Times New Roman" w:cs="Times New Roman"/>
          <w:i/>
        </w:rPr>
        <w:t>Gamintojas</w:t>
      </w:r>
    </w:p>
    <w:p w:rsidR="002E24B8" w:rsidRPr="00514F05" w:rsidRDefault="002E24B8" w:rsidP="002E24B8">
      <w:pPr>
        <w:spacing w:after="0" w:line="240" w:lineRule="auto"/>
        <w:rPr>
          <w:rFonts w:ascii="Times New Roman" w:eastAsia="MS Mincho" w:hAnsi="Times New Roman" w:cs="Times New Roman"/>
          <w:bCs/>
          <w:lang w:val="it-IT" w:eastAsia="ja-JP"/>
        </w:rPr>
      </w:pPr>
      <w:r w:rsidRPr="00514F05">
        <w:rPr>
          <w:rFonts w:ascii="Times New Roman" w:eastAsia="MS Mincho" w:hAnsi="Times New Roman" w:cs="Times New Roman"/>
          <w:bCs/>
          <w:lang w:val="it-IT" w:eastAsia="ja-JP"/>
        </w:rPr>
        <w:t>Pharmathen S.A</w:t>
      </w:r>
    </w:p>
    <w:p w:rsidR="002E24B8" w:rsidRDefault="002E24B8" w:rsidP="002E24B8">
      <w:pPr>
        <w:spacing w:after="0" w:line="240" w:lineRule="auto"/>
        <w:rPr>
          <w:rFonts w:ascii="Times New Roman" w:eastAsia="MS Mincho" w:hAnsi="Times New Roman" w:cs="Times New Roman"/>
          <w:bCs/>
          <w:lang w:val="it-IT" w:eastAsia="ja-JP"/>
        </w:rPr>
      </w:pPr>
      <w:r w:rsidRPr="00514F05">
        <w:rPr>
          <w:rFonts w:ascii="Times New Roman" w:eastAsia="MS Mincho" w:hAnsi="Times New Roman" w:cs="Times New Roman"/>
          <w:bCs/>
          <w:lang w:val="it-IT" w:eastAsia="ja-JP"/>
        </w:rPr>
        <w:t>6, Dervenakion str.</w:t>
      </w:r>
    </w:p>
    <w:p w:rsidR="002E24B8" w:rsidRPr="00514F05" w:rsidRDefault="002E24B8" w:rsidP="002E24B8">
      <w:pPr>
        <w:spacing w:after="0" w:line="240" w:lineRule="auto"/>
        <w:rPr>
          <w:rFonts w:ascii="Times New Roman" w:eastAsia="MS Mincho" w:hAnsi="Times New Roman" w:cs="Times New Roman"/>
          <w:bCs/>
          <w:lang w:val="it-IT" w:eastAsia="ja-JP"/>
        </w:rPr>
      </w:pPr>
      <w:r w:rsidRPr="00514F05">
        <w:rPr>
          <w:rFonts w:ascii="Times New Roman" w:eastAsia="MS Mincho" w:hAnsi="Times New Roman" w:cs="Times New Roman"/>
          <w:bCs/>
          <w:lang w:val="it-IT" w:eastAsia="ja-JP"/>
        </w:rPr>
        <w:t>153 51 Pallini Attiki</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MS Mincho" w:hAnsi="Times New Roman" w:cs="Times New Roman"/>
          <w:bCs/>
          <w:lang w:eastAsia="ja-JP"/>
        </w:rPr>
        <w:t>Graikija</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arba</w:t>
      </w:r>
    </w:p>
    <w:p w:rsidR="002E24B8" w:rsidRPr="00514F05" w:rsidRDefault="002E24B8" w:rsidP="002E24B8">
      <w:pPr>
        <w:spacing w:after="0" w:line="240" w:lineRule="auto"/>
        <w:rPr>
          <w:rFonts w:ascii="Times New Roman" w:eastAsia="Times New Roman" w:hAnsi="Times New Roman" w:cs="Times New Roman"/>
        </w:rPr>
      </w:pPr>
    </w:p>
    <w:p w:rsidR="002E24B8" w:rsidRPr="00514F05" w:rsidRDefault="002E24B8" w:rsidP="002E24B8">
      <w:pPr>
        <w:spacing w:after="0" w:line="240" w:lineRule="auto"/>
        <w:rPr>
          <w:rFonts w:ascii="Times New Roman" w:eastAsia="MS Mincho" w:hAnsi="Times New Roman" w:cs="Times New Roman"/>
          <w:bCs/>
          <w:lang w:eastAsia="ja-JP"/>
        </w:rPr>
      </w:pPr>
      <w:r w:rsidRPr="00514F05">
        <w:rPr>
          <w:rFonts w:ascii="Times New Roman" w:eastAsia="MS Mincho" w:hAnsi="Times New Roman" w:cs="Times New Roman"/>
          <w:bCs/>
          <w:lang w:eastAsia="ja-JP"/>
        </w:rPr>
        <w:t>Pharmathen International S.A</w:t>
      </w:r>
    </w:p>
    <w:p w:rsidR="002E24B8" w:rsidRPr="00514F05" w:rsidRDefault="002E24B8" w:rsidP="002E24B8">
      <w:pPr>
        <w:spacing w:after="0" w:line="240" w:lineRule="auto"/>
        <w:rPr>
          <w:rFonts w:ascii="Times New Roman" w:eastAsia="MS Mincho" w:hAnsi="Times New Roman" w:cs="Times New Roman"/>
          <w:bCs/>
          <w:lang w:eastAsia="ja-JP"/>
        </w:rPr>
      </w:pPr>
      <w:smartTag w:uri="urn:schemas-microsoft-com:office:smarttags" w:element="place">
        <w:smartTag w:uri="urn:schemas-microsoft-com:office:smarttags" w:element="PlaceName">
          <w:r w:rsidRPr="00514F05">
            <w:rPr>
              <w:rFonts w:ascii="Times New Roman" w:eastAsia="MS Mincho" w:hAnsi="Times New Roman" w:cs="Times New Roman"/>
              <w:bCs/>
              <w:lang w:eastAsia="ja-JP"/>
            </w:rPr>
            <w:t>Sapes</w:t>
          </w:r>
        </w:smartTag>
        <w:r w:rsidRPr="00514F05">
          <w:rPr>
            <w:rFonts w:ascii="Times New Roman" w:eastAsia="MS Mincho" w:hAnsi="Times New Roman" w:cs="Times New Roman"/>
            <w:bCs/>
            <w:lang w:eastAsia="ja-JP"/>
          </w:rPr>
          <w:t xml:space="preserve"> </w:t>
        </w:r>
        <w:smartTag w:uri="urn:schemas-microsoft-com:office:smarttags" w:element="PlaceType">
          <w:r w:rsidRPr="00514F05">
            <w:rPr>
              <w:rFonts w:ascii="Times New Roman" w:eastAsia="MS Mincho" w:hAnsi="Times New Roman" w:cs="Times New Roman"/>
              <w:bCs/>
              <w:lang w:eastAsia="ja-JP"/>
            </w:rPr>
            <w:t>Industrial Park</w:t>
          </w:r>
        </w:smartTag>
      </w:smartTag>
    </w:p>
    <w:p w:rsidR="002E24B8" w:rsidRPr="00514F05" w:rsidRDefault="002E24B8" w:rsidP="002E24B8">
      <w:pPr>
        <w:spacing w:after="0" w:line="240" w:lineRule="auto"/>
        <w:rPr>
          <w:rFonts w:ascii="Times New Roman" w:eastAsia="MS Mincho" w:hAnsi="Times New Roman" w:cs="Times New Roman"/>
          <w:bCs/>
          <w:lang w:eastAsia="ja-JP"/>
        </w:rPr>
      </w:pPr>
      <w:r w:rsidRPr="00514F05">
        <w:rPr>
          <w:rFonts w:ascii="Times New Roman" w:eastAsia="MS Mincho" w:hAnsi="Times New Roman" w:cs="Times New Roman"/>
          <w:bCs/>
          <w:lang w:eastAsia="ja-JP"/>
        </w:rPr>
        <w:t>Block 5, 69300 Rodopi</w:t>
      </w:r>
    </w:p>
    <w:p w:rsidR="002E24B8" w:rsidRPr="00514F05" w:rsidRDefault="002E24B8" w:rsidP="002E24B8">
      <w:pPr>
        <w:spacing w:after="0" w:line="240" w:lineRule="auto"/>
        <w:rPr>
          <w:rFonts w:ascii="Times New Roman" w:eastAsia="MS Mincho" w:hAnsi="Times New Roman" w:cs="Times New Roman"/>
          <w:bCs/>
          <w:lang w:val="es-ES" w:eastAsia="ja-JP"/>
        </w:rPr>
      </w:pPr>
      <w:r w:rsidRPr="00514F05">
        <w:rPr>
          <w:rFonts w:ascii="Times New Roman" w:eastAsia="MS Mincho" w:hAnsi="Times New Roman" w:cs="Times New Roman"/>
          <w:bCs/>
          <w:lang w:val="es-ES" w:eastAsia="ja-JP"/>
        </w:rPr>
        <w:t>Graikija</w:t>
      </w:r>
    </w:p>
    <w:p w:rsidR="002E24B8" w:rsidRPr="00514F05" w:rsidRDefault="002E24B8" w:rsidP="002E24B8">
      <w:pPr>
        <w:spacing w:after="0" w:line="240" w:lineRule="auto"/>
        <w:rPr>
          <w:rFonts w:ascii="Times New Roman" w:eastAsia="MS Mincho" w:hAnsi="Times New Roman" w:cs="Times New Roman"/>
          <w:bCs/>
          <w:lang w:val="es-ES" w:eastAsia="ja-JP"/>
        </w:rPr>
      </w:pPr>
    </w:p>
    <w:p w:rsidR="002E24B8" w:rsidRPr="00514F05" w:rsidRDefault="002E24B8" w:rsidP="002E24B8">
      <w:pPr>
        <w:tabs>
          <w:tab w:val="left" w:pos="3119"/>
          <w:tab w:val="left" w:pos="5954"/>
        </w:tabs>
        <w:snapToGrid w:val="0"/>
        <w:spacing w:after="0" w:line="240" w:lineRule="auto"/>
        <w:rPr>
          <w:rFonts w:ascii="Times New Roman" w:eastAsia="Times New Roman" w:hAnsi="Times New Roman" w:cs="Times New Roman"/>
          <w:lang w:eastAsia="zh-CN" w:bidi="he-IL"/>
        </w:rPr>
      </w:pPr>
      <w:r w:rsidRPr="00514F05">
        <w:rPr>
          <w:rFonts w:ascii="Times New Roman" w:eastAsia="Times New Roman" w:hAnsi="Times New Roman" w:cs="Times New Roman"/>
          <w:lang w:eastAsia="zh-CN" w:bidi="he-IL"/>
        </w:rPr>
        <w:t>Jeigu apie šį vaistą norite sužinoti daugiau, kreipkitės į vietinį registruotojo atstovą.</w:t>
      </w:r>
    </w:p>
    <w:p w:rsidR="002E24B8" w:rsidRPr="00514F05" w:rsidRDefault="002E24B8" w:rsidP="002E24B8">
      <w:pPr>
        <w:spacing w:after="0" w:line="240" w:lineRule="auto"/>
        <w:rPr>
          <w:rFonts w:ascii="Times New Roman" w:eastAsia="MS Mincho" w:hAnsi="Times New Roman" w:cs="Times New Roman"/>
          <w:color w:val="000000"/>
          <w:lang w:val="it-IT" w:eastAsia="ja-JP"/>
        </w:rPr>
      </w:pPr>
    </w:p>
    <w:p w:rsidR="002E24B8" w:rsidRPr="00514F05" w:rsidRDefault="002E24B8" w:rsidP="002E24B8">
      <w:pPr>
        <w:spacing w:after="0" w:line="240" w:lineRule="auto"/>
        <w:rPr>
          <w:rFonts w:ascii="Times New Roman" w:eastAsia="MS Mincho" w:hAnsi="Times New Roman" w:cs="Times New Roman"/>
          <w:color w:val="000000"/>
          <w:lang w:val="it-IT" w:eastAsia="ja-JP"/>
        </w:rPr>
      </w:pPr>
      <w:r w:rsidRPr="00514F05">
        <w:rPr>
          <w:rFonts w:ascii="Times New Roman" w:eastAsia="MS Mincho" w:hAnsi="Times New Roman" w:cs="Times New Roman"/>
          <w:color w:val="000000"/>
          <w:lang w:eastAsia="ja-JP"/>
        </w:rPr>
        <w:t>UAB „SANOFI-AVENTIS LIETUVA“</w:t>
      </w:r>
    </w:p>
    <w:p w:rsidR="002E24B8"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A. Juozapavičiaus g. 6/2</w:t>
      </w:r>
    </w:p>
    <w:p w:rsidR="002E24B8" w:rsidRPr="00514F05" w:rsidRDefault="002E24B8" w:rsidP="002E24B8">
      <w:pPr>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LT-09310, Vilnius</w:t>
      </w:r>
    </w:p>
    <w:p w:rsidR="002E24B8" w:rsidRPr="00514F05" w:rsidRDefault="002E24B8" w:rsidP="002E24B8">
      <w:pPr>
        <w:spacing w:after="0" w:line="240" w:lineRule="auto"/>
        <w:ind w:left="567" w:hanging="567"/>
        <w:rPr>
          <w:rFonts w:ascii="Times New Roman" w:eastAsia="Times New Roman" w:hAnsi="Times New Roman" w:cs="Times New Roman"/>
        </w:rPr>
      </w:pPr>
      <w:r w:rsidRPr="00514F05">
        <w:rPr>
          <w:rFonts w:ascii="Times New Roman" w:eastAsia="Times New Roman" w:hAnsi="Times New Roman" w:cs="Times New Roman"/>
        </w:rPr>
        <w:t>Tel.: +370 5 2755224</w:t>
      </w:r>
    </w:p>
    <w:p w:rsidR="002E24B8" w:rsidRPr="00514F05" w:rsidRDefault="002E24B8" w:rsidP="002E24B8">
      <w:pPr>
        <w:tabs>
          <w:tab w:val="left" w:pos="3119"/>
          <w:tab w:val="left" w:pos="5954"/>
        </w:tabs>
        <w:snapToGrid w:val="0"/>
        <w:spacing w:after="0" w:line="240" w:lineRule="auto"/>
        <w:rPr>
          <w:rFonts w:ascii="Times New Roman" w:eastAsia="Times New Roman" w:hAnsi="Times New Roman" w:cs="Times New Roman"/>
          <w:b/>
          <w:lang w:eastAsia="zh-CN" w:bidi="he-IL"/>
        </w:rPr>
      </w:pPr>
      <w:r w:rsidRPr="00514F05">
        <w:rPr>
          <w:rFonts w:ascii="Times New Roman" w:eastAsia="Times New Roman" w:hAnsi="Times New Roman" w:cs="Times New Roman"/>
          <w:lang w:eastAsia="zh-CN"/>
        </w:rPr>
        <w:t>Faksas: +370 5 2755239</w:t>
      </w:r>
    </w:p>
    <w:p w:rsidR="002E24B8" w:rsidRPr="00514F05" w:rsidRDefault="002E24B8" w:rsidP="002E24B8">
      <w:pPr>
        <w:tabs>
          <w:tab w:val="left" w:pos="3119"/>
          <w:tab w:val="left" w:pos="5954"/>
        </w:tabs>
        <w:snapToGrid w:val="0"/>
        <w:spacing w:after="0" w:line="240" w:lineRule="auto"/>
        <w:rPr>
          <w:rFonts w:ascii="Times New Roman" w:eastAsia="Times New Roman" w:hAnsi="Times New Roman" w:cs="Times New Roman"/>
          <w:b/>
          <w:lang w:eastAsia="zh-CN" w:bidi="he-IL"/>
        </w:rPr>
      </w:pPr>
    </w:p>
    <w:p w:rsidR="002E24B8" w:rsidRPr="00514F05" w:rsidRDefault="002E24B8" w:rsidP="002E24B8">
      <w:pPr>
        <w:numPr>
          <w:ilvl w:val="12"/>
          <w:numId w:val="0"/>
        </w:numPr>
        <w:spacing w:after="0" w:line="240" w:lineRule="auto"/>
        <w:ind w:right="-2"/>
        <w:rPr>
          <w:rFonts w:ascii="Times New Roman" w:eastAsia="Times New Roman" w:hAnsi="Times New Roman" w:cs="Times New Roman"/>
          <w:noProof/>
        </w:rPr>
      </w:pPr>
      <w:r w:rsidRPr="00514F05">
        <w:rPr>
          <w:rFonts w:ascii="Times New Roman" w:eastAsia="Times New Roman" w:hAnsi="Times New Roman" w:cs="Times New Roman"/>
          <w:b/>
        </w:rPr>
        <w:t>Šis vaistas EEE valstybėse narėse registruotas tokiais pavadinimais:</w:t>
      </w:r>
    </w:p>
    <w:p w:rsidR="002E24B8" w:rsidRPr="00514F05" w:rsidRDefault="002E24B8" w:rsidP="002E24B8">
      <w:pPr>
        <w:widowControl w:val="0"/>
        <w:tabs>
          <w:tab w:val="left" w:pos="1843"/>
        </w:tabs>
        <w:autoSpaceDE w:val="0"/>
        <w:autoSpaceDN w:val="0"/>
        <w:adjustRightInd w:val="0"/>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Jungtinė Karalystė</w:t>
      </w:r>
      <w:r w:rsidRPr="00514F05">
        <w:rPr>
          <w:rFonts w:ascii="Times New Roman" w:eastAsia="Times New Roman" w:hAnsi="Times New Roman" w:cs="Times New Roman"/>
        </w:rPr>
        <w:tab/>
        <w:t xml:space="preserve">     </w:t>
      </w:r>
      <w:r w:rsidRPr="00514F05">
        <w:rPr>
          <w:rFonts w:ascii="Times New Roman" w:eastAsia="Times New Roman" w:hAnsi="Times New Roman" w:cs="Times New Roman"/>
        </w:rPr>
        <w:tab/>
        <w:t>Blerone XL 2 mg, 4 mg prolonged release capsules</w:t>
      </w:r>
    </w:p>
    <w:p w:rsidR="002E24B8" w:rsidRDefault="002E24B8" w:rsidP="002E24B8">
      <w:pPr>
        <w:widowControl w:val="0"/>
        <w:tabs>
          <w:tab w:val="left" w:pos="1843"/>
        </w:tabs>
        <w:autoSpaceDE w:val="0"/>
        <w:autoSpaceDN w:val="0"/>
        <w:adjustRightInd w:val="0"/>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Estija</w:t>
      </w:r>
      <w:r w:rsidRPr="00514F05">
        <w:rPr>
          <w:rFonts w:ascii="Times New Roman" w:eastAsia="Times New Roman" w:hAnsi="Times New Roman" w:cs="Times New Roman"/>
        </w:rPr>
        <w:tab/>
      </w:r>
      <w:r w:rsidRPr="00514F05">
        <w:rPr>
          <w:rFonts w:ascii="Times New Roman" w:eastAsia="Times New Roman" w:hAnsi="Times New Roman" w:cs="Times New Roman"/>
        </w:rPr>
        <w:tab/>
        <w:t>Uroflow 4 mg</w:t>
      </w:r>
    </w:p>
    <w:p w:rsidR="002E24B8" w:rsidRDefault="002E24B8" w:rsidP="002E24B8">
      <w:pPr>
        <w:widowControl w:val="0"/>
        <w:tabs>
          <w:tab w:val="left" w:pos="1843"/>
        </w:tabs>
        <w:autoSpaceDE w:val="0"/>
        <w:autoSpaceDN w:val="0"/>
        <w:adjustRightInd w:val="0"/>
        <w:spacing w:after="0" w:line="240" w:lineRule="auto"/>
        <w:rPr>
          <w:rFonts w:ascii="Times New Roman" w:eastAsia="Times New Roman" w:hAnsi="Times New Roman" w:cs="Times New Roman"/>
        </w:rPr>
      </w:pPr>
      <w:r w:rsidRPr="00514F05">
        <w:rPr>
          <w:rFonts w:ascii="Times New Roman" w:eastAsia="Times New Roman" w:hAnsi="Times New Roman" w:cs="Times New Roman"/>
        </w:rPr>
        <w:t>Lietuva</w:t>
      </w:r>
      <w:r w:rsidRPr="00514F05">
        <w:rPr>
          <w:rFonts w:ascii="Times New Roman" w:eastAsia="Times New Roman" w:hAnsi="Times New Roman" w:cs="Times New Roman"/>
        </w:rPr>
        <w:tab/>
      </w:r>
      <w:r w:rsidRPr="00514F05">
        <w:rPr>
          <w:rFonts w:ascii="Times New Roman" w:eastAsia="Times New Roman" w:hAnsi="Times New Roman" w:cs="Times New Roman"/>
        </w:rPr>
        <w:tab/>
      </w:r>
      <w:r w:rsidRPr="00514F05">
        <w:rPr>
          <w:rFonts w:ascii="Times New Roman" w:eastAsia="Times New Roman" w:hAnsi="Times New Roman" w:cs="Times New Roman"/>
          <w:iCs/>
        </w:rPr>
        <w:t>Uroflow 4 mg pailginto atpalaidavimo kietosios kapsulės</w:t>
      </w:r>
    </w:p>
    <w:p w:rsidR="002E24B8" w:rsidRPr="00514F05" w:rsidRDefault="002E24B8" w:rsidP="002E24B8">
      <w:pPr>
        <w:tabs>
          <w:tab w:val="left" w:pos="3119"/>
          <w:tab w:val="left" w:pos="5954"/>
        </w:tabs>
        <w:snapToGrid w:val="0"/>
        <w:spacing w:after="0" w:line="240" w:lineRule="auto"/>
        <w:rPr>
          <w:rFonts w:ascii="Times New Roman" w:eastAsia="Times New Roman" w:hAnsi="Times New Roman" w:cs="Times New Roman"/>
          <w:lang w:eastAsia="zh-CN" w:bidi="he-IL"/>
        </w:rPr>
      </w:pPr>
    </w:p>
    <w:p w:rsidR="002E24B8" w:rsidRPr="00514F05" w:rsidRDefault="002E24B8" w:rsidP="002E24B8">
      <w:pPr>
        <w:numPr>
          <w:ilvl w:val="12"/>
          <w:numId w:val="0"/>
        </w:numPr>
        <w:spacing w:after="0" w:line="240" w:lineRule="auto"/>
        <w:ind w:right="-2"/>
        <w:rPr>
          <w:rFonts w:ascii="Times New Roman" w:eastAsia="Times New Roman" w:hAnsi="Times New Roman" w:cs="Times New Roman"/>
          <w:color w:val="000000"/>
        </w:rPr>
      </w:pPr>
    </w:p>
    <w:p w:rsidR="002E24B8" w:rsidRDefault="002E24B8" w:rsidP="002E24B8">
      <w:pPr>
        <w:spacing w:after="0" w:line="240" w:lineRule="auto"/>
        <w:rPr>
          <w:rFonts w:ascii="Times New Roman" w:hAnsi="Times New Roman" w:cs="Times New Roman"/>
          <w:b/>
          <w:color w:val="000000"/>
        </w:rPr>
      </w:pPr>
      <w:r w:rsidRPr="00514F05">
        <w:rPr>
          <w:rFonts w:ascii="Times New Roman" w:hAnsi="Times New Roman" w:cs="Times New Roman"/>
          <w:b/>
          <w:bCs/>
          <w:color w:val="000000"/>
        </w:rPr>
        <w:t>Šis pakuotės lapelis</w:t>
      </w:r>
      <w:r w:rsidRPr="00514F05">
        <w:rPr>
          <w:rFonts w:ascii="Times New Roman" w:hAnsi="Times New Roman" w:cs="Times New Roman"/>
          <w:b/>
          <w:color w:val="000000"/>
        </w:rPr>
        <w:t xml:space="preserve"> paskutinį kartą peržiūrėtas </w:t>
      </w:r>
      <w:r>
        <w:rPr>
          <w:rFonts w:ascii="Times New Roman" w:hAnsi="Times New Roman" w:cs="Times New Roman"/>
          <w:b/>
          <w:color w:val="000000"/>
        </w:rPr>
        <w:t>2018-03-09.</w:t>
      </w:r>
    </w:p>
    <w:p w:rsidR="002E24B8" w:rsidRPr="00514F05" w:rsidRDefault="002E24B8" w:rsidP="002E24B8">
      <w:pPr>
        <w:spacing w:after="0" w:line="240" w:lineRule="auto"/>
        <w:rPr>
          <w:rFonts w:ascii="Times New Roman" w:hAnsi="Times New Roman" w:cs="Times New Roman"/>
          <w:color w:val="000000"/>
        </w:rPr>
      </w:pPr>
    </w:p>
    <w:p w:rsidR="002E24B8" w:rsidRPr="00514F05" w:rsidRDefault="002E24B8" w:rsidP="002E24B8">
      <w:pPr>
        <w:spacing w:after="0" w:line="240" w:lineRule="auto"/>
        <w:rPr>
          <w:rFonts w:ascii="Times New Roman" w:eastAsia="Times New Roman" w:hAnsi="Times New Roman" w:cs="Times New Roman"/>
          <w:b/>
        </w:rPr>
      </w:pPr>
    </w:p>
    <w:p w:rsidR="002E24B8" w:rsidRPr="00514F05" w:rsidRDefault="002E24B8" w:rsidP="002E24B8">
      <w:pPr>
        <w:spacing w:after="0" w:line="240" w:lineRule="auto"/>
        <w:rPr>
          <w:rFonts w:ascii="Times New Roman" w:eastAsia="Times New Roman" w:hAnsi="Times New Roman" w:cs="Times New Roman"/>
          <w:color w:val="0000FF"/>
          <w:u w:val="single"/>
        </w:rPr>
      </w:pPr>
      <w:r w:rsidRPr="00514F05">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514F05">
          <w:rPr>
            <w:rFonts w:ascii="Times New Roman" w:eastAsia="Times New Roman" w:hAnsi="Times New Roman" w:cs="Times New Roman"/>
            <w:color w:val="0000FF"/>
            <w:u w:val="single"/>
          </w:rPr>
          <w:t>http://www.vvkt.lt/</w:t>
        </w:r>
      </w:hyperlink>
    </w:p>
    <w:p w:rsidR="002E24B8" w:rsidRDefault="002E24B8"/>
    <w:sectPr w:rsidR="002E24B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8E71D03"/>
    <w:multiLevelType w:val="hybridMultilevel"/>
    <w:tmpl w:val="AB569E3E"/>
    <w:lvl w:ilvl="0" w:tplc="FB6288B0">
      <w:start w:val="1"/>
      <w:numFmt w:val="bullet"/>
      <w:lvlText w:val="-"/>
      <w:lvlJc w:val="left"/>
      <w:pPr>
        <w:ind w:left="720" w:hanging="360"/>
      </w:pPr>
      <w:rPr>
        <w:rFonts w:ascii="Times New Roman" w:hAnsi="Times New Roman"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4D622B7"/>
    <w:multiLevelType w:val="hybridMultilevel"/>
    <w:tmpl w:val="C67E41C6"/>
    <w:lvl w:ilvl="0" w:tplc="FB6288B0">
      <w:start w:val="1"/>
      <w:numFmt w:val="bullet"/>
      <w:lvlText w:val="-"/>
      <w:lvlJc w:val="left"/>
      <w:pPr>
        <w:ind w:left="720" w:hanging="360"/>
      </w:pPr>
      <w:rPr>
        <w:rFonts w:ascii="Times New Roman" w:hAnsi="Times New Roman"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4F2D29A5"/>
    <w:multiLevelType w:val="hybridMultilevel"/>
    <w:tmpl w:val="51B2993A"/>
    <w:lvl w:ilvl="0" w:tplc="FB6288B0">
      <w:start w:val="1"/>
      <w:numFmt w:val="bullet"/>
      <w:lvlText w:val="-"/>
      <w:lvlJc w:val="left"/>
      <w:pPr>
        <w:ind w:left="720" w:hanging="360"/>
      </w:pPr>
      <w:rPr>
        <w:rFonts w:ascii="Times New Roman" w:hAnsi="Times New Roman"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 w:ilvl="0">
        <w:start w:val="1"/>
        <w:numFmt w:val="bullet"/>
        <w:lvlText w:val="-"/>
        <w:lvlJc w:val="left"/>
        <w:pPr>
          <w:ind w:left="360" w:hanging="360"/>
        </w:p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B8"/>
    <w:rsid w:val="002E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1409753-2751-4FF4-98BD-8EE3B88E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2021-04-14T08:44:00Z</dcterms:created>
  <dcterms:modified xsi:type="dcterms:W3CDTF">2021-04-14T08:44:00Z</dcterms:modified>
</cp:coreProperties>
</file>