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297" w:rsidRPr="00E82419" w:rsidRDefault="00500297" w:rsidP="00500297">
      <w:pPr>
        <w:spacing w:after="0" w:line="240" w:lineRule="auto"/>
        <w:jc w:val="center"/>
        <w:rPr>
          <w:rFonts w:ascii="Times New Roman" w:eastAsia="Times New Roman" w:hAnsi="Times New Roman" w:cs="Times New Roman"/>
          <w:b/>
          <w:lang w:val="lt-LT"/>
        </w:rPr>
      </w:pPr>
      <w:r w:rsidRPr="00E82419">
        <w:rPr>
          <w:rFonts w:ascii="Times New Roman" w:eastAsia="Times New Roman" w:hAnsi="Times New Roman" w:cs="Times New Roman"/>
          <w:b/>
          <w:lang w:val="lt-LT"/>
        </w:rPr>
        <w:t>Pakuotės lapelis: informacija vartotojui</w:t>
      </w:r>
    </w:p>
    <w:p w:rsidR="00500297" w:rsidRPr="00E82419" w:rsidRDefault="00500297" w:rsidP="00500297">
      <w:pPr>
        <w:spacing w:after="0" w:line="240" w:lineRule="auto"/>
        <w:jc w:val="center"/>
        <w:rPr>
          <w:rFonts w:ascii="Times New Roman" w:eastAsia="Times New Roman" w:hAnsi="Times New Roman" w:cs="Times New Roman"/>
          <w:lang w:val="lt-LT"/>
        </w:rPr>
      </w:pPr>
    </w:p>
    <w:p w:rsidR="00500297" w:rsidRPr="00E82419" w:rsidRDefault="00500297" w:rsidP="00500297">
      <w:pPr>
        <w:spacing w:after="0" w:line="240" w:lineRule="auto"/>
        <w:jc w:val="center"/>
        <w:rPr>
          <w:rFonts w:ascii="Times New Roman" w:eastAsia="Times New Roman" w:hAnsi="Times New Roman" w:cs="Times New Roman"/>
          <w:b/>
          <w:lang w:val="lt-LT"/>
        </w:rPr>
      </w:pPr>
      <w:r w:rsidRPr="00E82419">
        <w:rPr>
          <w:rFonts w:ascii="Times New Roman" w:eastAsia="Times New Roman" w:hAnsi="Times New Roman" w:cs="Times New Roman"/>
          <w:b/>
          <w:lang w:val="lt-LT"/>
        </w:rPr>
        <w:t>Biodroxil 250 mg/5 ml milteliai geriamajai suspensijai</w:t>
      </w:r>
    </w:p>
    <w:p w:rsidR="00500297" w:rsidRPr="00E82419" w:rsidRDefault="00500297" w:rsidP="00500297">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Cefadroksilis</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hAnsi="Times New Roman" w:cs="Times New Roman"/>
          <w:b/>
          <w:lang w:val="lt-LT"/>
        </w:rPr>
      </w:pPr>
      <w:r w:rsidRPr="00E82419">
        <w:rPr>
          <w:rFonts w:ascii="Times New Roman" w:hAnsi="Times New Roman" w:cs="Times New Roman"/>
          <w:b/>
          <w:lang w:val="lt-LT"/>
        </w:rPr>
        <w:t>Atidžiai perskaitykite visą šį lapelį, prieš pradėdami vartoti vaistą, nes jame pateikiama Jums svarbi informacija.</w:t>
      </w:r>
    </w:p>
    <w:p w:rsidR="00500297" w:rsidRPr="00157E61" w:rsidRDefault="00500297" w:rsidP="00500297">
      <w:pPr>
        <w:pStyle w:val="ListParagraph"/>
        <w:numPr>
          <w:ilvl w:val="0"/>
          <w:numId w:val="8"/>
        </w:numPr>
        <w:ind w:left="567" w:hanging="567"/>
        <w:rPr>
          <w:rFonts w:eastAsiaTheme="minorHAnsi"/>
        </w:rPr>
      </w:pPr>
      <w:r w:rsidRPr="00157E61">
        <w:rPr>
          <w:rFonts w:eastAsiaTheme="minorHAnsi"/>
        </w:rPr>
        <w:t>Neišmeskite šio lapelio, nes vėl gali prireikti jį perskaityti.</w:t>
      </w:r>
    </w:p>
    <w:p w:rsidR="00500297" w:rsidRPr="00157E61" w:rsidRDefault="00500297" w:rsidP="00500297">
      <w:pPr>
        <w:pStyle w:val="ListParagraph"/>
        <w:numPr>
          <w:ilvl w:val="0"/>
          <w:numId w:val="8"/>
        </w:numPr>
        <w:ind w:left="567" w:hanging="567"/>
        <w:rPr>
          <w:rFonts w:eastAsiaTheme="minorHAnsi"/>
        </w:rPr>
      </w:pPr>
      <w:r w:rsidRPr="00157E61">
        <w:rPr>
          <w:rFonts w:eastAsiaTheme="minorHAnsi"/>
        </w:rPr>
        <w:t>Jeigu kiltų daugiau klausimų, kreipkitės į gydytoją arba vaistininką.</w:t>
      </w:r>
    </w:p>
    <w:p w:rsidR="00500297" w:rsidRPr="00157E61" w:rsidRDefault="00500297" w:rsidP="00500297">
      <w:pPr>
        <w:pStyle w:val="ListParagraph"/>
        <w:numPr>
          <w:ilvl w:val="0"/>
          <w:numId w:val="8"/>
        </w:numPr>
        <w:ind w:left="567" w:hanging="567"/>
        <w:rPr>
          <w:rFonts w:eastAsiaTheme="minorHAnsi"/>
        </w:rPr>
      </w:pPr>
      <w:r w:rsidRPr="00157E61">
        <w:rPr>
          <w:rFonts w:eastAsiaTheme="minorHAnsi"/>
        </w:rPr>
        <w:t>Šis vaistas skirtas tik Jums, todėl kitiems žmonėms jo duoti negalima. Vaistas gali jiems pakenkti (net tiems, kurių ligos požymiai yra tokie patys kaip Jūsų).</w:t>
      </w:r>
    </w:p>
    <w:p w:rsidR="00500297" w:rsidRPr="00157E61" w:rsidRDefault="00500297" w:rsidP="00500297">
      <w:pPr>
        <w:pStyle w:val="ListParagraph"/>
        <w:numPr>
          <w:ilvl w:val="0"/>
          <w:numId w:val="8"/>
        </w:numPr>
        <w:ind w:left="567" w:hanging="567"/>
        <w:rPr>
          <w:rFonts w:eastAsiaTheme="minorHAnsi"/>
        </w:rPr>
      </w:pPr>
      <w:r w:rsidRPr="00157E61">
        <w:rPr>
          <w:rFonts w:eastAsiaTheme="minorHAnsi"/>
        </w:rPr>
        <w:t>Jeigu pasireiškė šalutinis poveikis (net jeigu jis šiame lapelyje nenurodytas), kreipkitės į gydytoją arba vaistininką. Žr. 4 skyrių.</w:t>
      </w:r>
    </w:p>
    <w:p w:rsidR="00500297" w:rsidRPr="00E82419" w:rsidRDefault="00500297" w:rsidP="00500297">
      <w:pPr>
        <w:tabs>
          <w:tab w:val="left" w:pos="1296"/>
        </w:tabs>
        <w:spacing w:after="0" w:line="240" w:lineRule="auto"/>
        <w:rPr>
          <w:rFonts w:ascii="Times New Roman" w:hAnsi="Times New Roman" w:cs="Times New Roman"/>
          <w:lang w:val="lt-LT"/>
        </w:rPr>
      </w:pPr>
    </w:p>
    <w:p w:rsidR="00500297" w:rsidRPr="00E82419" w:rsidRDefault="00500297" w:rsidP="00500297">
      <w:pPr>
        <w:tabs>
          <w:tab w:val="left" w:pos="567"/>
        </w:tabs>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Apie ką rašoma šiame lapelyje?</w:t>
      </w:r>
    </w:p>
    <w:p w:rsidR="00500297" w:rsidRPr="00E82419" w:rsidRDefault="00500297" w:rsidP="00500297">
      <w:pPr>
        <w:tabs>
          <w:tab w:val="left" w:pos="567"/>
        </w:tabs>
        <w:spacing w:after="0" w:line="240" w:lineRule="auto"/>
        <w:rPr>
          <w:rFonts w:ascii="Times New Roman" w:eastAsia="Times New Roman" w:hAnsi="Times New Roman" w:cs="Times New Roman"/>
          <w:b/>
          <w:lang w:val="lt-LT"/>
        </w:rPr>
      </w:pPr>
    </w:p>
    <w:p w:rsidR="00500297" w:rsidRPr="00E82419" w:rsidRDefault="00500297" w:rsidP="00500297">
      <w:pPr>
        <w:spacing w:after="0" w:line="240" w:lineRule="auto"/>
        <w:ind w:left="567" w:hanging="567"/>
        <w:rPr>
          <w:rFonts w:ascii="Times New Roman" w:eastAsia="Times New Roman" w:hAnsi="Times New Roman" w:cs="Times New Roman"/>
          <w:lang w:val="lt-LT"/>
        </w:rPr>
      </w:pPr>
      <w:r w:rsidRPr="00E82419">
        <w:rPr>
          <w:rFonts w:ascii="Times New Roman" w:eastAsia="Times New Roman" w:hAnsi="Times New Roman" w:cs="Times New Roman"/>
          <w:lang w:val="lt-LT"/>
        </w:rPr>
        <w:t>1.</w:t>
      </w:r>
      <w:r w:rsidRPr="00E82419">
        <w:rPr>
          <w:rFonts w:ascii="Times New Roman" w:eastAsia="Times New Roman" w:hAnsi="Times New Roman" w:cs="Times New Roman"/>
          <w:lang w:val="lt-LT"/>
        </w:rPr>
        <w:tab/>
        <w:t>Kas yra Biodroxil ir kam jis vartojamas</w:t>
      </w:r>
    </w:p>
    <w:p w:rsidR="00500297" w:rsidRPr="00E82419" w:rsidRDefault="00500297" w:rsidP="00500297">
      <w:pPr>
        <w:spacing w:after="0" w:line="240" w:lineRule="auto"/>
        <w:ind w:left="567" w:hanging="567"/>
        <w:rPr>
          <w:rFonts w:ascii="Times New Roman" w:eastAsia="Times New Roman" w:hAnsi="Times New Roman" w:cs="Times New Roman"/>
          <w:lang w:val="lt-LT"/>
        </w:rPr>
      </w:pPr>
      <w:r w:rsidRPr="00E82419">
        <w:rPr>
          <w:rFonts w:ascii="Times New Roman" w:eastAsia="Times New Roman" w:hAnsi="Times New Roman" w:cs="Times New Roman"/>
          <w:lang w:val="lt-LT"/>
        </w:rPr>
        <w:t>2.</w:t>
      </w:r>
      <w:r w:rsidRPr="00E82419">
        <w:rPr>
          <w:rFonts w:ascii="Times New Roman" w:eastAsia="Times New Roman" w:hAnsi="Times New Roman" w:cs="Times New Roman"/>
          <w:lang w:val="lt-LT"/>
        </w:rPr>
        <w:tab/>
        <w:t>Kas žinotina prieš vartojant Biodroxil</w:t>
      </w:r>
    </w:p>
    <w:p w:rsidR="00500297" w:rsidRPr="00E82419" w:rsidRDefault="00500297" w:rsidP="00500297">
      <w:pPr>
        <w:spacing w:after="0" w:line="240" w:lineRule="auto"/>
        <w:ind w:left="567" w:hanging="567"/>
        <w:rPr>
          <w:rFonts w:ascii="Times New Roman" w:eastAsia="Times New Roman" w:hAnsi="Times New Roman" w:cs="Times New Roman"/>
          <w:lang w:val="lt-LT"/>
        </w:rPr>
      </w:pPr>
      <w:r w:rsidRPr="00E82419">
        <w:rPr>
          <w:rFonts w:ascii="Times New Roman" w:eastAsia="Times New Roman" w:hAnsi="Times New Roman" w:cs="Times New Roman"/>
          <w:lang w:val="lt-LT"/>
        </w:rPr>
        <w:t>3.</w:t>
      </w:r>
      <w:r w:rsidRPr="00E82419">
        <w:rPr>
          <w:rFonts w:ascii="Times New Roman" w:eastAsia="Times New Roman" w:hAnsi="Times New Roman" w:cs="Times New Roman"/>
          <w:lang w:val="lt-LT"/>
        </w:rPr>
        <w:tab/>
        <w:t>Kaip vartoti Biodroxil</w:t>
      </w:r>
    </w:p>
    <w:p w:rsidR="00500297" w:rsidRPr="00E82419" w:rsidRDefault="00500297" w:rsidP="00500297">
      <w:pPr>
        <w:spacing w:after="0" w:line="240" w:lineRule="auto"/>
        <w:ind w:left="567" w:hanging="567"/>
        <w:rPr>
          <w:rFonts w:ascii="Times New Roman" w:eastAsia="Times New Roman" w:hAnsi="Times New Roman" w:cs="Times New Roman"/>
          <w:lang w:val="lt-LT"/>
        </w:rPr>
      </w:pPr>
      <w:r w:rsidRPr="00E82419">
        <w:rPr>
          <w:rFonts w:ascii="Times New Roman" w:eastAsia="Times New Roman" w:hAnsi="Times New Roman" w:cs="Times New Roman"/>
          <w:lang w:val="lt-LT"/>
        </w:rPr>
        <w:t>4.</w:t>
      </w:r>
      <w:r w:rsidRPr="00E82419">
        <w:rPr>
          <w:rFonts w:ascii="Times New Roman" w:eastAsia="Times New Roman" w:hAnsi="Times New Roman" w:cs="Times New Roman"/>
          <w:lang w:val="lt-LT"/>
        </w:rPr>
        <w:tab/>
        <w:t>Galimas šalutinis poveikis</w:t>
      </w:r>
    </w:p>
    <w:p w:rsidR="00500297" w:rsidRPr="00E82419" w:rsidRDefault="00500297" w:rsidP="00500297">
      <w:pPr>
        <w:spacing w:after="0" w:line="240" w:lineRule="auto"/>
        <w:ind w:left="567" w:hanging="567"/>
        <w:rPr>
          <w:rFonts w:ascii="Times New Roman" w:eastAsia="Times New Roman" w:hAnsi="Times New Roman" w:cs="Times New Roman"/>
          <w:lang w:val="lt-LT"/>
        </w:rPr>
      </w:pPr>
      <w:r w:rsidRPr="00E82419">
        <w:rPr>
          <w:rFonts w:ascii="Times New Roman" w:eastAsia="Times New Roman" w:hAnsi="Times New Roman" w:cs="Times New Roman"/>
          <w:lang w:val="lt-LT"/>
        </w:rPr>
        <w:t>5.</w:t>
      </w:r>
      <w:r w:rsidRPr="00E82419">
        <w:rPr>
          <w:rFonts w:ascii="Times New Roman" w:eastAsia="Times New Roman" w:hAnsi="Times New Roman" w:cs="Times New Roman"/>
          <w:lang w:val="lt-LT"/>
        </w:rPr>
        <w:tab/>
        <w:t>Kaip laikyti Biodroxil</w:t>
      </w:r>
    </w:p>
    <w:p w:rsidR="00500297" w:rsidRPr="00E82419" w:rsidRDefault="00500297" w:rsidP="00500297">
      <w:pPr>
        <w:spacing w:after="0" w:line="240" w:lineRule="auto"/>
        <w:ind w:left="567" w:hanging="567"/>
        <w:rPr>
          <w:rFonts w:ascii="Times New Roman" w:eastAsia="Times New Roman" w:hAnsi="Times New Roman" w:cs="Times New Roman"/>
          <w:lang w:val="lt-LT"/>
        </w:rPr>
      </w:pPr>
      <w:r w:rsidRPr="00E82419">
        <w:rPr>
          <w:rFonts w:ascii="Times New Roman" w:eastAsia="Times New Roman" w:hAnsi="Times New Roman" w:cs="Times New Roman"/>
          <w:lang w:val="lt-LT"/>
        </w:rPr>
        <w:t>6.</w:t>
      </w:r>
      <w:r w:rsidRPr="00E82419">
        <w:rPr>
          <w:rFonts w:ascii="Times New Roman" w:eastAsia="Times New Roman" w:hAnsi="Times New Roman" w:cs="Times New Roman"/>
          <w:lang w:val="lt-LT"/>
        </w:rPr>
        <w:tab/>
        <w:t>Pakuotės turinys ir kita informacija</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ind w:left="567" w:hanging="567"/>
        <w:rPr>
          <w:rFonts w:ascii="Times New Roman" w:eastAsia="Times New Roman" w:hAnsi="Times New Roman" w:cs="Times New Roman"/>
          <w:b/>
          <w:lang w:val="lt-LT"/>
        </w:rPr>
      </w:pPr>
      <w:r w:rsidRPr="00E82419">
        <w:rPr>
          <w:rFonts w:ascii="Times New Roman" w:eastAsia="Times New Roman" w:hAnsi="Times New Roman" w:cs="Times New Roman"/>
          <w:b/>
          <w:lang w:val="lt-LT"/>
        </w:rPr>
        <w:t>1.</w:t>
      </w:r>
      <w:r w:rsidRPr="00E82419">
        <w:rPr>
          <w:rFonts w:ascii="Times New Roman" w:eastAsia="Times New Roman" w:hAnsi="Times New Roman" w:cs="Times New Roman"/>
          <w:b/>
          <w:lang w:val="lt-LT"/>
        </w:rPr>
        <w:tab/>
        <w:t>Kas yra Biodroxil ir kam jis vartojamas</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bCs/>
          <w:lang w:val="lt-LT"/>
        </w:rPr>
        <w:t xml:space="preserve">Biodroxil veiklioji medžiaga yra cefadroksilis, </w:t>
      </w:r>
      <w:r w:rsidRPr="00E82419">
        <w:rPr>
          <w:rFonts w:ascii="Times New Roman" w:eastAsia="Times New Roman" w:hAnsi="Times New Roman" w:cs="Times New Roman"/>
          <w:lang w:val="lt-LT"/>
        </w:rPr>
        <w:t>cefalosporinų grupės antibiotikas. Cefalosporinai pažeidžia bakterijų ląstelių membranas ir tokiu būdu suardo augančias bakterijas.</w:t>
      </w:r>
    </w:p>
    <w:p w:rsidR="00500297" w:rsidRPr="00E82419" w:rsidRDefault="00500297" w:rsidP="00500297">
      <w:pPr>
        <w:spacing w:after="0" w:line="240" w:lineRule="auto"/>
        <w:rPr>
          <w:rFonts w:ascii="Times New Roman" w:eastAsia="Times New Roman" w:hAnsi="Times New Roman" w:cs="Times New Roman"/>
          <w:iCs/>
          <w:lang w:val="lt-LT"/>
        </w:rPr>
      </w:pPr>
    </w:p>
    <w:p w:rsidR="00500297" w:rsidRPr="00E82419" w:rsidRDefault="00500297" w:rsidP="00500297">
      <w:pPr>
        <w:spacing w:after="0" w:line="240" w:lineRule="auto"/>
        <w:rPr>
          <w:rFonts w:ascii="Times New Roman" w:eastAsia="Times New Roman" w:hAnsi="Times New Roman" w:cs="Times New Roman"/>
          <w:i/>
          <w:lang w:val="lt-LT"/>
        </w:rPr>
      </w:pPr>
      <w:r w:rsidRPr="00E82419">
        <w:rPr>
          <w:rFonts w:ascii="Times New Roman" w:eastAsia="Times New Roman" w:hAnsi="Times New Roman" w:cs="Times New Roman"/>
          <w:lang w:val="lt-LT"/>
        </w:rPr>
        <w:t>Biodroxil vartojamas šioms jam jautrių bakterijų sukeltoms infekcinėms ligoms gydyti:</w:t>
      </w:r>
    </w:p>
    <w:p w:rsidR="00500297" w:rsidRPr="00E82419" w:rsidRDefault="00500297" w:rsidP="00500297">
      <w:pPr>
        <w:numPr>
          <w:ilvl w:val="0"/>
          <w:numId w:val="1"/>
        </w:numPr>
        <w:tabs>
          <w:tab w:val="left" w:pos="426"/>
        </w:tabs>
        <w:spacing w:after="0" w:line="240" w:lineRule="auto"/>
        <w:ind w:left="993" w:hanging="567"/>
        <w:rPr>
          <w:rFonts w:ascii="Times New Roman" w:eastAsia="Times New Roman" w:hAnsi="Times New Roman" w:cs="Times New Roman"/>
          <w:lang w:val="lt-LT"/>
        </w:rPr>
      </w:pPr>
      <w:r w:rsidRPr="00E82419">
        <w:rPr>
          <w:rFonts w:ascii="Times New Roman" w:eastAsia="Times New Roman" w:hAnsi="Times New Roman" w:cs="Times New Roman"/>
          <w:lang w:val="lt-LT"/>
        </w:rPr>
        <w:t>kvėpavimo takų (tonzilių ir gerklės uždegimui);</w:t>
      </w:r>
    </w:p>
    <w:p w:rsidR="00500297" w:rsidRPr="00E82419" w:rsidRDefault="00500297" w:rsidP="00500297">
      <w:pPr>
        <w:numPr>
          <w:ilvl w:val="0"/>
          <w:numId w:val="1"/>
        </w:numPr>
        <w:tabs>
          <w:tab w:val="left" w:pos="426"/>
        </w:tabs>
        <w:spacing w:after="0" w:line="240" w:lineRule="auto"/>
        <w:ind w:left="709" w:hanging="283"/>
        <w:rPr>
          <w:rFonts w:ascii="Times New Roman" w:eastAsia="Times New Roman" w:hAnsi="Times New Roman" w:cs="Times New Roman"/>
          <w:lang w:val="lt-LT"/>
        </w:rPr>
      </w:pPr>
      <w:r w:rsidRPr="00E82419">
        <w:rPr>
          <w:rFonts w:ascii="Times New Roman" w:eastAsia="Times New Roman" w:hAnsi="Times New Roman" w:cs="Times New Roman"/>
          <w:lang w:val="lt-LT"/>
        </w:rPr>
        <w:t>odos ir minkštųjų audinių pūlinėms ligoms (jos vadinamos piodermija, impetiga, pūliniu, šunvote);</w:t>
      </w:r>
    </w:p>
    <w:p w:rsidR="00500297" w:rsidRPr="00E82419" w:rsidRDefault="00500297" w:rsidP="00500297">
      <w:pPr>
        <w:numPr>
          <w:ilvl w:val="0"/>
          <w:numId w:val="1"/>
        </w:numPr>
        <w:tabs>
          <w:tab w:val="left" w:pos="426"/>
        </w:tabs>
        <w:spacing w:after="0" w:line="240" w:lineRule="auto"/>
        <w:ind w:left="993" w:hanging="567"/>
        <w:rPr>
          <w:rFonts w:ascii="Times New Roman" w:eastAsia="Times New Roman" w:hAnsi="Times New Roman" w:cs="Times New Roman"/>
          <w:lang w:val="lt-LT"/>
        </w:rPr>
      </w:pPr>
      <w:r w:rsidRPr="00E82419">
        <w:rPr>
          <w:rFonts w:ascii="Times New Roman" w:eastAsia="Times New Roman" w:hAnsi="Times New Roman" w:cs="Times New Roman"/>
          <w:lang w:val="lt-LT"/>
        </w:rPr>
        <w:t>šlapimo takų (šlapimo pūslės uždegimui, inkstų geldelių uždegimui).</w:t>
      </w:r>
    </w:p>
    <w:p w:rsidR="00500297" w:rsidRPr="00E82419" w:rsidRDefault="00500297" w:rsidP="00500297">
      <w:pPr>
        <w:tabs>
          <w:tab w:val="left" w:pos="567"/>
        </w:tabs>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Prireikus gydytojas prieš gydymą šiuo antibiotiku bei gydymo metu nustatys infekcinės ligos sukėlėjo jautrumą cefadroksiliui, ištirs Jūsų inkstų veiklą.</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ind w:left="567" w:hanging="567"/>
        <w:jc w:val="both"/>
        <w:rPr>
          <w:rFonts w:ascii="Times New Roman" w:eastAsia="Times New Roman" w:hAnsi="Times New Roman" w:cs="Times New Roman"/>
          <w:b/>
          <w:lang w:val="lt-LT"/>
        </w:rPr>
      </w:pPr>
      <w:r w:rsidRPr="00E82419">
        <w:rPr>
          <w:rFonts w:ascii="Times New Roman" w:eastAsia="Times New Roman" w:hAnsi="Times New Roman" w:cs="Times New Roman"/>
          <w:b/>
          <w:lang w:val="lt-LT"/>
        </w:rPr>
        <w:t>2.</w:t>
      </w:r>
      <w:r w:rsidRPr="00E82419">
        <w:rPr>
          <w:rFonts w:ascii="Times New Roman" w:eastAsia="Times New Roman" w:hAnsi="Times New Roman" w:cs="Times New Roman"/>
          <w:b/>
          <w:lang w:val="lt-LT"/>
        </w:rPr>
        <w:tab/>
        <w:t>Kas žinotina prieš vartojant Biodroxil</w:t>
      </w:r>
    </w:p>
    <w:p w:rsidR="00500297" w:rsidRPr="00E82419" w:rsidRDefault="00500297" w:rsidP="00500297">
      <w:pPr>
        <w:spacing w:after="0" w:line="240" w:lineRule="auto"/>
        <w:rPr>
          <w:rFonts w:ascii="Times New Roman" w:eastAsia="Times New Roman" w:hAnsi="Times New Roman" w:cs="Times New Roman"/>
          <w:b/>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Biodroxil vartoti negalima:</w:t>
      </w:r>
    </w:p>
    <w:p w:rsidR="00500297" w:rsidRPr="00E82419" w:rsidRDefault="00500297" w:rsidP="00500297">
      <w:pPr>
        <w:tabs>
          <w:tab w:val="left" w:pos="567"/>
        </w:tabs>
        <w:spacing w:after="0" w:line="240" w:lineRule="auto"/>
        <w:ind w:left="567" w:hanging="567"/>
        <w:rPr>
          <w:rFonts w:ascii="Times New Roman" w:eastAsia="Times New Roman" w:hAnsi="Times New Roman" w:cs="Times New Roman"/>
          <w:lang w:val="lt-LT"/>
        </w:rPr>
      </w:pPr>
      <w:r w:rsidRPr="00E82419">
        <w:rPr>
          <w:rFonts w:ascii="Times New Roman" w:eastAsia="Times New Roman" w:hAnsi="Times New Roman" w:cs="Times New Roman"/>
          <w:lang w:val="lt-LT"/>
        </w:rPr>
        <w:t>-</w:t>
      </w:r>
      <w:r w:rsidRPr="00E82419">
        <w:rPr>
          <w:rFonts w:ascii="Times New Roman" w:eastAsia="Times New Roman" w:hAnsi="Times New Roman" w:cs="Times New Roman"/>
          <w:lang w:val="lt-LT"/>
        </w:rPr>
        <w:tab/>
        <w:t>jeigu yra alergija cefadroksiliui arba bet kuriai pagalbinei šio vaisto medžiagai (jos išvardytos 6 skyriuje);</w:t>
      </w:r>
    </w:p>
    <w:p w:rsidR="00500297" w:rsidRPr="00E82419" w:rsidRDefault="00500297" w:rsidP="00500297">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E82419">
        <w:rPr>
          <w:rFonts w:ascii="Times New Roman" w:eastAsia="Times New Roman" w:hAnsi="Times New Roman" w:cs="Times New Roman"/>
          <w:lang w:val="lt-LT"/>
        </w:rPr>
        <w:t>jeigu yra alergija bet kuriam kitam cefalosporinų grupės antibiotikui;</w:t>
      </w:r>
    </w:p>
    <w:p w:rsidR="00500297" w:rsidRPr="00E82419" w:rsidRDefault="00500297" w:rsidP="00500297">
      <w:pPr>
        <w:numPr>
          <w:ilvl w:val="0"/>
          <w:numId w:val="3"/>
        </w:num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jeigu yra buvusi sunki alerginė reakcija, kurią sukėlė penicilinai ar kiti beta laktaminiai antibiotikai.</w:t>
      </w:r>
    </w:p>
    <w:p w:rsidR="00500297" w:rsidRPr="00E82419" w:rsidRDefault="00500297" w:rsidP="00500297">
      <w:pPr>
        <w:spacing w:after="0" w:line="240" w:lineRule="auto"/>
        <w:rPr>
          <w:rFonts w:ascii="Times New Roman" w:eastAsia="Times New Roman" w:hAnsi="Times New Roman" w:cs="Times New Roman"/>
          <w:b/>
          <w:lang w:val="lt-LT"/>
        </w:rPr>
      </w:pPr>
    </w:p>
    <w:p w:rsidR="00500297" w:rsidRPr="00E82419" w:rsidRDefault="00500297" w:rsidP="00500297">
      <w:pPr>
        <w:tabs>
          <w:tab w:val="left" w:pos="567"/>
        </w:tabs>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Įspėjimai ir atsargumo priemonės</w:t>
      </w:r>
    </w:p>
    <w:p w:rsidR="00500297" w:rsidRPr="00E82419" w:rsidRDefault="00500297" w:rsidP="00500297">
      <w:pPr>
        <w:tabs>
          <w:tab w:val="left" w:pos="567"/>
        </w:tabs>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Pasitarkite su gydytoju arba</w:t>
      </w:r>
      <w:r>
        <w:rPr>
          <w:rFonts w:ascii="Times New Roman" w:eastAsia="Times New Roman" w:hAnsi="Times New Roman" w:cs="Times New Roman"/>
          <w:lang w:val="lt-LT"/>
        </w:rPr>
        <w:t xml:space="preserve"> </w:t>
      </w:r>
      <w:r w:rsidRPr="00E82419">
        <w:rPr>
          <w:rFonts w:ascii="Times New Roman" w:eastAsia="Times New Roman" w:hAnsi="Times New Roman" w:cs="Times New Roman"/>
          <w:lang w:val="lt-LT"/>
        </w:rPr>
        <w:t>vaistininku, prieš pradėdami vartoti Biodroxil. Tai ypač svarbu, jeigu:</w:t>
      </w:r>
    </w:p>
    <w:p w:rsidR="00500297" w:rsidRPr="00E82419" w:rsidRDefault="00500297" w:rsidP="00500297">
      <w:pPr>
        <w:numPr>
          <w:ilvl w:val="0"/>
          <w:numId w:val="5"/>
        </w:numPr>
        <w:tabs>
          <w:tab w:val="left" w:pos="567"/>
        </w:tabs>
        <w:spacing w:after="0" w:line="240" w:lineRule="auto"/>
        <w:contextualSpacing/>
        <w:rPr>
          <w:rFonts w:ascii="Times New Roman" w:eastAsia="Times New Roman" w:hAnsi="Times New Roman" w:cs="Times New Roman"/>
          <w:lang w:val="lt-LT"/>
        </w:rPr>
      </w:pPr>
      <w:r w:rsidRPr="00E82419">
        <w:rPr>
          <w:rFonts w:ascii="Times New Roman" w:eastAsia="Times New Roman" w:hAnsi="Times New Roman" w:cs="Times New Roman"/>
          <w:lang w:val="lt-LT"/>
        </w:rPr>
        <w:t>praeityje yra buvusi astma arba sunki alerginė reakcija;</w:t>
      </w:r>
    </w:p>
    <w:p w:rsidR="00500297" w:rsidRPr="00E82419" w:rsidRDefault="00500297" w:rsidP="00500297">
      <w:pPr>
        <w:numPr>
          <w:ilvl w:val="0"/>
          <w:numId w:val="5"/>
        </w:numPr>
        <w:tabs>
          <w:tab w:val="left" w:pos="567"/>
        </w:tabs>
        <w:spacing w:after="0" w:line="240" w:lineRule="auto"/>
        <w:ind w:left="567" w:hanging="207"/>
        <w:contextualSpacing/>
        <w:rPr>
          <w:rFonts w:ascii="Times New Roman" w:eastAsia="Times New Roman" w:hAnsi="Times New Roman" w:cs="Times New Roman"/>
          <w:lang w:val="lt-LT"/>
        </w:rPr>
      </w:pPr>
      <w:r w:rsidRPr="00E82419">
        <w:rPr>
          <w:rFonts w:ascii="Times New Roman" w:eastAsia="Times New Roman" w:hAnsi="Times New Roman" w:cs="Times New Roman"/>
          <w:lang w:val="lt-LT"/>
        </w:rPr>
        <w:t>yra alergija penicilinų grupės antibiotikams, kadangi gali pasireikšti kryžminė alergija (ji galima 5-10</w:t>
      </w:r>
      <w:r>
        <w:rPr>
          <w:rFonts w:ascii="Times New Roman" w:eastAsia="Times New Roman" w:hAnsi="Times New Roman" w:cs="Times New Roman"/>
          <w:lang w:val="lt-LT"/>
        </w:rPr>
        <w:t> </w:t>
      </w:r>
      <w:r w:rsidRPr="00E82419">
        <w:rPr>
          <w:rFonts w:ascii="Times New Roman" w:eastAsia="Times New Roman" w:hAnsi="Times New Roman" w:cs="Times New Roman"/>
          <w:lang w:val="lt-LT"/>
        </w:rPr>
        <w:t>% pacientų);</w:t>
      </w:r>
    </w:p>
    <w:p w:rsidR="00500297" w:rsidRPr="00E82419" w:rsidRDefault="00500297" w:rsidP="00500297">
      <w:pPr>
        <w:numPr>
          <w:ilvl w:val="0"/>
          <w:numId w:val="5"/>
        </w:numPr>
        <w:tabs>
          <w:tab w:val="left" w:pos="567"/>
        </w:tabs>
        <w:spacing w:after="0" w:line="240" w:lineRule="auto"/>
        <w:ind w:left="567" w:hanging="207"/>
        <w:contextualSpacing/>
        <w:rPr>
          <w:rFonts w:ascii="Times New Roman" w:eastAsia="Times New Roman" w:hAnsi="Times New Roman" w:cs="Times New Roman"/>
          <w:lang w:val="lt-LT"/>
        </w:rPr>
      </w:pPr>
      <w:r w:rsidRPr="00E82419">
        <w:rPr>
          <w:rFonts w:ascii="Times New Roman" w:eastAsia="Times New Roman" w:hAnsi="Times New Roman" w:cs="Times New Roman"/>
          <w:lang w:val="lt-LT"/>
        </w:rPr>
        <w:t>sergate sunkiu inkstų veiklos sutrikimu. Tokiu atveju reikia ilginti intervalus tarp dozių vartojimo (žr. skyriuje “Kaip vartoti Biodroxil“ pateiktą lentelę);</w:t>
      </w:r>
    </w:p>
    <w:p w:rsidR="00500297" w:rsidRPr="00E82419" w:rsidRDefault="00500297" w:rsidP="00500297">
      <w:pPr>
        <w:numPr>
          <w:ilvl w:val="0"/>
          <w:numId w:val="5"/>
        </w:numPr>
        <w:spacing w:after="0" w:line="240" w:lineRule="auto"/>
        <w:ind w:left="567" w:hanging="207"/>
        <w:contextualSpacing/>
        <w:rPr>
          <w:rFonts w:ascii="Times New Roman" w:eastAsia="Times New Roman" w:hAnsi="Times New Roman" w:cs="Times New Roman"/>
          <w:lang w:val="lt-LT"/>
        </w:rPr>
      </w:pPr>
      <w:r w:rsidRPr="00E82419">
        <w:rPr>
          <w:rFonts w:ascii="Times New Roman" w:eastAsia="Times New Roman" w:hAnsi="Times New Roman" w:cs="Times New Roman"/>
          <w:lang w:val="lt-LT"/>
        </w:rPr>
        <w:lastRenderedPageBreak/>
        <w:t>sergate sunkia, gyvybei pavojinga infekcine liga. Iš pradžių Jums turi būti skiriami leidžiami antibiotikai;</w:t>
      </w:r>
    </w:p>
    <w:p w:rsidR="00500297" w:rsidRPr="00E82419" w:rsidRDefault="00500297" w:rsidP="00500297">
      <w:pPr>
        <w:numPr>
          <w:ilvl w:val="0"/>
          <w:numId w:val="5"/>
        </w:numPr>
        <w:spacing w:after="0" w:line="240" w:lineRule="auto"/>
        <w:ind w:left="567"/>
        <w:contextualSpacing/>
        <w:rPr>
          <w:rFonts w:ascii="Times New Roman" w:eastAsia="Times New Roman" w:hAnsi="Times New Roman" w:cs="Times New Roman"/>
          <w:lang w:val="lt-LT"/>
        </w:rPr>
      </w:pPr>
      <w:r w:rsidRPr="00E82419">
        <w:rPr>
          <w:rFonts w:ascii="Times New Roman" w:eastAsia="Times New Roman" w:hAnsi="Times New Roman" w:cs="Times New Roman"/>
          <w:lang w:val="lt-LT"/>
        </w:rPr>
        <w:t>praeityje sirgote sunkiu virškinimo trakto veiklos sutrikimu.</w:t>
      </w:r>
    </w:p>
    <w:p w:rsidR="00500297" w:rsidRPr="00E82419" w:rsidRDefault="00500297" w:rsidP="00500297">
      <w:pPr>
        <w:tabs>
          <w:tab w:val="left" w:pos="567"/>
        </w:tabs>
        <w:spacing w:after="0" w:line="240" w:lineRule="auto"/>
        <w:rPr>
          <w:rFonts w:ascii="Times New Roman" w:eastAsia="Times New Roman" w:hAnsi="Times New Roman" w:cs="Times New Roman"/>
          <w:lang w:val="lt-LT"/>
        </w:rPr>
      </w:pPr>
    </w:p>
    <w:p w:rsidR="00500297" w:rsidRPr="00E82419" w:rsidRDefault="00500297" w:rsidP="00500297">
      <w:pPr>
        <w:tabs>
          <w:tab w:val="left" w:pos="567"/>
        </w:tabs>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Vartojant, ypač ilgai, Biodroxil, kaip ir kitokių antibiotikų, gydytojas gali dažnai tirti kraujo ląstelių kiekį ir kepenų bei inkstų veiklą.</w:t>
      </w:r>
    </w:p>
    <w:p w:rsidR="00500297" w:rsidRPr="00E82419" w:rsidRDefault="00500297" w:rsidP="00500297">
      <w:pPr>
        <w:tabs>
          <w:tab w:val="left" w:pos="567"/>
        </w:tabs>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 xml:space="preserve">Jei </w:t>
      </w:r>
      <w:r w:rsidRPr="00E82419">
        <w:rPr>
          <w:rFonts w:ascii="Times New Roman" w:eastAsia="Times New Roman" w:hAnsi="Times New Roman" w:cs="Times New Roman"/>
          <w:b/>
          <w:lang w:val="lt-LT"/>
        </w:rPr>
        <w:t>atsiranda alergijos požymių</w:t>
      </w:r>
      <w:r w:rsidRPr="00E82419">
        <w:rPr>
          <w:rFonts w:ascii="Times New Roman" w:eastAsia="Times New Roman" w:hAnsi="Times New Roman" w:cs="Times New Roman"/>
          <w:lang w:val="lt-LT"/>
        </w:rPr>
        <w:t xml:space="preserve"> (dilgėlinė, egzantema (išbėrimas), niežulys, kraujospūdžio mažėjimas, širdies ritmo padažnėjimas, kvėpavimo sutrikimas, kolapsas ar kt.), vaisto vartojimą būtina nutraukti ir kreiptis į gydytoją.</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Jeigu viduriuojate, gali mažėti Biodroxil pasisavinimas organizme ir dėl to vaisto poveikis gali būti silpnesnis.</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 xml:space="preserve">Jeigu prasideda </w:t>
      </w:r>
      <w:r w:rsidRPr="00E82419">
        <w:rPr>
          <w:rFonts w:ascii="Times New Roman" w:eastAsia="Times New Roman" w:hAnsi="Times New Roman" w:cs="Times New Roman"/>
          <w:b/>
          <w:lang w:val="lt-LT"/>
        </w:rPr>
        <w:t>sunkus ir nepraeinantis viduriavimas</w:t>
      </w:r>
      <w:r w:rsidRPr="00E82419">
        <w:rPr>
          <w:rFonts w:ascii="Times New Roman" w:eastAsia="Times New Roman" w:hAnsi="Times New Roman" w:cs="Times New Roman"/>
          <w:lang w:val="lt-LT"/>
        </w:rPr>
        <w:t>, kreipkitės į gydytoją. Gydytojas ištirs, ar nėra pseudomembraninio kolito (infekcinio žarnyno uždegimo). Kadangi jis gali būti net pavojingas gyvybei, Biodroxil vartojimą būtina tuoj pat nutraukti ir pradėti vartoti tinkamų vaistų (pvz., kitokių antibiotikų). Žarnų veiklą slopinančių vaistų vartoti draudžiama.</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Kiti vaistai ir Biodroxil</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Jeigu vartojate ar neseniai vartojote kitų vaistų arba dėl to nesate tikri, pasakykite gydytojui arba vaistininkui.</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bCs/>
          <w:lang w:val="lt-LT"/>
        </w:rPr>
        <w:t>Biodroxil</w:t>
      </w:r>
      <w:r w:rsidRPr="00E82419">
        <w:rPr>
          <w:rFonts w:ascii="Times New Roman" w:eastAsia="Times New Roman" w:hAnsi="Times New Roman" w:cs="Times New Roman"/>
          <w:lang w:val="lt-LT"/>
        </w:rPr>
        <w:t xml:space="preserve"> negalima vartoti kartu šiais vaistais:</w:t>
      </w:r>
    </w:p>
    <w:p w:rsidR="00500297" w:rsidRPr="00E82419" w:rsidRDefault="00500297" w:rsidP="00500297">
      <w:pPr>
        <w:numPr>
          <w:ilvl w:val="0"/>
          <w:numId w:val="6"/>
        </w:numPr>
        <w:spacing w:after="0" w:line="240" w:lineRule="auto"/>
        <w:contextualSpacing/>
        <w:rPr>
          <w:rFonts w:ascii="Times New Roman" w:eastAsia="Times New Roman" w:hAnsi="Times New Roman" w:cs="Times New Roman"/>
          <w:lang w:val="lt-LT"/>
        </w:rPr>
      </w:pPr>
      <w:r w:rsidRPr="00E82419">
        <w:rPr>
          <w:rFonts w:ascii="Times New Roman" w:eastAsia="Times New Roman" w:hAnsi="Times New Roman" w:cs="Times New Roman"/>
          <w:lang w:val="lt-LT"/>
        </w:rPr>
        <w:t>antibiotikais, kurie slopina bakterijų dauginimąsi (pvz., tetraciklinais, eritromicinu, sulfamidais, chloramfenikoliu). Kartu vartojami šie vaistai gali sutrikdyti vieni kitų veikimą.</w:t>
      </w:r>
    </w:p>
    <w:p w:rsidR="00500297" w:rsidRPr="00E82419" w:rsidRDefault="00500297" w:rsidP="00500297">
      <w:pPr>
        <w:numPr>
          <w:ilvl w:val="0"/>
          <w:numId w:val="6"/>
        </w:numPr>
        <w:spacing w:after="0" w:line="240" w:lineRule="auto"/>
        <w:contextualSpacing/>
        <w:rPr>
          <w:rFonts w:ascii="Times New Roman" w:eastAsia="Times New Roman" w:hAnsi="Times New Roman" w:cs="Times New Roman"/>
          <w:lang w:val="lt-LT"/>
        </w:rPr>
      </w:pPr>
      <w:r w:rsidRPr="00E82419">
        <w:rPr>
          <w:rFonts w:ascii="Times New Roman" w:eastAsia="Times New Roman" w:hAnsi="Times New Roman" w:cs="Times New Roman"/>
          <w:lang w:val="lt-LT"/>
        </w:rPr>
        <w:t>kai kuriais kitais antibiotikais (aminoglikozidais, polimiksinu B, kolistinu). Gali sustiprėti toksinis poveikis inkstams.</w:t>
      </w:r>
    </w:p>
    <w:p w:rsidR="00500297" w:rsidRPr="00E82419" w:rsidRDefault="00500297" w:rsidP="00500297">
      <w:pPr>
        <w:numPr>
          <w:ilvl w:val="0"/>
          <w:numId w:val="6"/>
        </w:numPr>
        <w:spacing w:after="0" w:line="240" w:lineRule="auto"/>
        <w:contextualSpacing/>
        <w:rPr>
          <w:rFonts w:ascii="Times New Roman" w:eastAsia="Times New Roman" w:hAnsi="Times New Roman" w:cs="Times New Roman"/>
          <w:lang w:val="lt-LT"/>
        </w:rPr>
      </w:pPr>
      <w:r w:rsidRPr="00E82419">
        <w:rPr>
          <w:rFonts w:ascii="Times New Roman" w:eastAsia="Times New Roman" w:hAnsi="Times New Roman" w:cs="Times New Roman"/>
          <w:lang w:val="lt-LT"/>
        </w:rPr>
        <w:t xml:space="preserve">kai kuriais diuretikais (šlapimą varančiais vaistais), vartojamais didelėmis dozėmis. </w:t>
      </w:r>
      <w:r w:rsidRPr="00E82419">
        <w:rPr>
          <w:rFonts w:ascii="Times New Roman" w:eastAsia="Times New Roman" w:hAnsi="Times New Roman" w:cs="Times New Roman"/>
          <w:bCs/>
          <w:lang w:val="lt-LT"/>
        </w:rPr>
        <w:t>G</w:t>
      </w:r>
      <w:r w:rsidRPr="00E82419">
        <w:rPr>
          <w:rFonts w:ascii="Times New Roman" w:eastAsia="Times New Roman" w:hAnsi="Times New Roman" w:cs="Times New Roman"/>
          <w:lang w:val="lt-LT"/>
        </w:rPr>
        <w:t>ali sustiprėti toksinis poveikis inkstams.</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Pasakykite gydytojui arba vaistininkui, jeigu vartojate kurio nors iš šių vaistų:</w:t>
      </w:r>
    </w:p>
    <w:p w:rsidR="00500297" w:rsidRPr="00E82419" w:rsidRDefault="00500297" w:rsidP="00500297">
      <w:pPr>
        <w:numPr>
          <w:ilvl w:val="0"/>
          <w:numId w:val="7"/>
        </w:numPr>
        <w:spacing w:after="0" w:line="240" w:lineRule="auto"/>
        <w:contextualSpacing/>
        <w:rPr>
          <w:rFonts w:ascii="Times New Roman" w:eastAsia="Times New Roman" w:hAnsi="Times New Roman" w:cs="Times New Roman"/>
          <w:lang w:val="lt-LT"/>
        </w:rPr>
      </w:pPr>
      <w:r w:rsidRPr="00E82419">
        <w:rPr>
          <w:rFonts w:ascii="Times New Roman" w:eastAsia="Times New Roman" w:hAnsi="Times New Roman" w:cs="Times New Roman"/>
          <w:lang w:val="lt-LT"/>
        </w:rPr>
        <w:t>probenecido (</w:t>
      </w:r>
      <w:r>
        <w:rPr>
          <w:rFonts w:ascii="Times New Roman" w:eastAsia="Times New Roman" w:hAnsi="Times New Roman" w:cs="Times New Roman"/>
          <w:lang w:val="lt-LT"/>
        </w:rPr>
        <w:t xml:space="preserve">nuo </w:t>
      </w:r>
      <w:r w:rsidRPr="00E82419">
        <w:rPr>
          <w:rFonts w:ascii="Times New Roman" w:eastAsia="Times New Roman" w:hAnsi="Times New Roman" w:cs="Times New Roman"/>
          <w:lang w:val="lt-LT"/>
        </w:rPr>
        <w:t>podagr</w:t>
      </w:r>
      <w:r>
        <w:rPr>
          <w:rFonts w:ascii="Times New Roman" w:eastAsia="Times New Roman" w:hAnsi="Times New Roman" w:cs="Times New Roman"/>
          <w:lang w:val="lt-LT"/>
        </w:rPr>
        <w:t>os</w:t>
      </w:r>
      <w:r w:rsidRPr="00E82419">
        <w:rPr>
          <w:rFonts w:ascii="Times New Roman" w:eastAsia="Times New Roman" w:hAnsi="Times New Roman" w:cs="Times New Roman"/>
          <w:lang w:val="lt-LT"/>
        </w:rPr>
        <w:t>). Gali išlikti didesnė Biodroxil koncentracija kraujyje</w:t>
      </w:r>
      <w:r>
        <w:rPr>
          <w:rFonts w:ascii="Times New Roman" w:eastAsia="Times New Roman" w:hAnsi="Times New Roman" w:cs="Times New Roman"/>
          <w:lang w:val="lt-LT"/>
        </w:rPr>
        <w:t>;</w:t>
      </w:r>
    </w:p>
    <w:p w:rsidR="00500297" w:rsidRPr="00E82419" w:rsidRDefault="00500297" w:rsidP="00500297">
      <w:pPr>
        <w:numPr>
          <w:ilvl w:val="0"/>
          <w:numId w:val="7"/>
        </w:numPr>
        <w:spacing w:after="0" w:line="240" w:lineRule="auto"/>
        <w:contextualSpacing/>
        <w:rPr>
          <w:rFonts w:ascii="Times New Roman" w:eastAsia="Times New Roman" w:hAnsi="Times New Roman" w:cs="Times New Roman"/>
          <w:lang w:val="lt-LT"/>
        </w:rPr>
      </w:pPr>
      <w:r w:rsidRPr="00E82419">
        <w:rPr>
          <w:rFonts w:ascii="Times New Roman" w:eastAsia="Times New Roman" w:hAnsi="Times New Roman" w:cs="Times New Roman"/>
          <w:lang w:val="lt-LT"/>
        </w:rPr>
        <w:t>geriamųjų kraujo krešėjimą slopinančių vaistų. Gali sustiprėti šių vaistų poveikis</w:t>
      </w:r>
      <w:r>
        <w:rPr>
          <w:rFonts w:ascii="Times New Roman" w:eastAsia="Times New Roman" w:hAnsi="Times New Roman" w:cs="Times New Roman"/>
          <w:lang w:val="lt-LT"/>
        </w:rPr>
        <w:t>;</w:t>
      </w:r>
    </w:p>
    <w:p w:rsidR="00500297" w:rsidRPr="00E82419" w:rsidRDefault="00500297" w:rsidP="00500297">
      <w:pPr>
        <w:numPr>
          <w:ilvl w:val="0"/>
          <w:numId w:val="7"/>
        </w:numPr>
        <w:spacing w:after="0" w:line="240" w:lineRule="auto"/>
        <w:contextualSpacing/>
        <w:rPr>
          <w:rFonts w:ascii="Times New Roman" w:eastAsia="Times New Roman" w:hAnsi="Times New Roman" w:cs="Times New Roman"/>
          <w:lang w:val="lt-LT"/>
        </w:rPr>
      </w:pPr>
      <w:r w:rsidRPr="00E82419">
        <w:rPr>
          <w:rFonts w:ascii="Times New Roman" w:eastAsia="Times New Roman" w:hAnsi="Times New Roman" w:cs="Times New Roman"/>
          <w:lang w:val="lt-LT"/>
        </w:rPr>
        <w:t>kolestiramino (vaisto cholesterolio kiekiui kraujyje mažinti). Biodroxil poveikis gali susilpnėti.</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157E61" w:rsidRDefault="00500297" w:rsidP="00500297">
      <w:pPr>
        <w:spacing w:after="0" w:line="240" w:lineRule="auto"/>
        <w:rPr>
          <w:rFonts w:ascii="Times New Roman" w:eastAsia="Times New Roman" w:hAnsi="Times New Roman" w:cs="Times New Roman"/>
          <w:b/>
          <w:iCs/>
          <w:lang w:val="lt-LT"/>
        </w:rPr>
      </w:pPr>
      <w:r w:rsidRPr="00157E61">
        <w:rPr>
          <w:rFonts w:ascii="Times New Roman" w:eastAsia="Times New Roman" w:hAnsi="Times New Roman" w:cs="Times New Roman"/>
          <w:b/>
          <w:iCs/>
          <w:lang w:val="lt-LT"/>
        </w:rPr>
        <w:t>Įtaka laboratorinių tyrimų rezultatams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Vartojant Biodroxil, gali būti klaidingai teigiamas gliukozės kiekio šlapime tyrimo rezultatas. Jeigu Jums reikia atlikti tokį tyrimą, pasakykite gydytojui, kad vartojate Biodroxil. Atsižvelgdamas į tai, gydytojas paskirs kitą tyrimo metodą (pvz., testo juostele).</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bCs/>
          <w:lang w:val="lt-LT"/>
        </w:rPr>
        <w:t>Biodroxil</w:t>
      </w:r>
      <w:r w:rsidRPr="00E82419">
        <w:rPr>
          <w:rFonts w:ascii="Times New Roman" w:eastAsia="Times New Roman" w:hAnsi="Times New Roman" w:cs="Times New Roman"/>
          <w:b/>
          <w:lang w:val="lt-LT"/>
        </w:rPr>
        <w:t xml:space="preserve"> vartojimas su maistu ir gėrimais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 xml:space="preserve">Maistas neturi įtakos vaisto pasisavinimui organizme, todėl </w:t>
      </w:r>
      <w:r w:rsidRPr="00E82419">
        <w:rPr>
          <w:rFonts w:ascii="Times New Roman" w:eastAsia="Times New Roman" w:hAnsi="Times New Roman" w:cs="Times New Roman"/>
          <w:bCs/>
          <w:lang w:val="lt-LT"/>
        </w:rPr>
        <w:t xml:space="preserve">Biodroxil </w:t>
      </w:r>
      <w:r w:rsidRPr="00E82419">
        <w:rPr>
          <w:rFonts w:ascii="Times New Roman" w:eastAsia="Times New Roman" w:hAnsi="Times New Roman" w:cs="Times New Roman"/>
          <w:lang w:val="lt-LT"/>
        </w:rPr>
        <w:t>galima vartoti nepriklausomai nuo valgymo laiko.</w:t>
      </w:r>
    </w:p>
    <w:p w:rsidR="00500297" w:rsidRPr="00E82419" w:rsidRDefault="00500297" w:rsidP="00500297">
      <w:pPr>
        <w:spacing w:after="0" w:line="240" w:lineRule="auto"/>
        <w:rPr>
          <w:rFonts w:ascii="Times New Roman" w:eastAsia="Times New Roman" w:hAnsi="Times New Roman" w:cs="Times New Roman"/>
          <w:b/>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Nėštumas ir žindymo laikotarpis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Jeigu esate nėščia, žindote kūdikį, manote, kad galbūt esate nėščia, arba planuojate pastoti, tai prieš vartodama šį vaistą, pasitarkite su gydytoju arba vaistininku.</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 xml:space="preserve">Nėščioms moterims </w:t>
      </w:r>
      <w:r w:rsidRPr="00E82419">
        <w:rPr>
          <w:rFonts w:ascii="Times New Roman" w:eastAsia="Times New Roman" w:hAnsi="Times New Roman" w:cs="Times New Roman"/>
          <w:bCs/>
          <w:lang w:val="lt-LT"/>
        </w:rPr>
        <w:t xml:space="preserve">Biodroxil </w:t>
      </w:r>
      <w:r w:rsidRPr="00E82419">
        <w:rPr>
          <w:rFonts w:ascii="Times New Roman" w:eastAsia="Times New Roman" w:hAnsi="Times New Roman" w:cs="Times New Roman"/>
          <w:lang w:val="lt-LT"/>
        </w:rPr>
        <w:t>galima vartoti tik gydytojo leidimu.</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 xml:space="preserve">Veikliosios </w:t>
      </w:r>
      <w:r w:rsidRPr="00E82419">
        <w:rPr>
          <w:rFonts w:ascii="Times New Roman" w:eastAsia="Times New Roman" w:hAnsi="Times New Roman" w:cs="Times New Roman"/>
          <w:bCs/>
          <w:lang w:val="lt-LT"/>
        </w:rPr>
        <w:t xml:space="preserve">Biodroxil </w:t>
      </w:r>
      <w:r w:rsidRPr="00E82419">
        <w:rPr>
          <w:rFonts w:ascii="Times New Roman" w:eastAsia="Times New Roman" w:hAnsi="Times New Roman" w:cs="Times New Roman"/>
          <w:lang w:val="lt-LT"/>
        </w:rPr>
        <w:t>medžiagos cefadroksilio išs</w:t>
      </w:r>
      <w:r>
        <w:rPr>
          <w:rFonts w:ascii="Times New Roman" w:eastAsia="Times New Roman" w:hAnsi="Times New Roman" w:cs="Times New Roman"/>
          <w:lang w:val="lt-LT"/>
        </w:rPr>
        <w:t>is</w:t>
      </w:r>
      <w:r w:rsidRPr="00E82419">
        <w:rPr>
          <w:rFonts w:ascii="Times New Roman" w:eastAsia="Times New Roman" w:hAnsi="Times New Roman" w:cs="Times New Roman"/>
          <w:lang w:val="lt-LT"/>
        </w:rPr>
        <w:t xml:space="preserve">kiria su motinos pienu. Žindyvėms </w:t>
      </w:r>
      <w:r w:rsidRPr="00E82419">
        <w:rPr>
          <w:rFonts w:ascii="Times New Roman" w:eastAsia="Times New Roman" w:hAnsi="Times New Roman" w:cs="Times New Roman"/>
          <w:bCs/>
          <w:lang w:val="lt-LT"/>
        </w:rPr>
        <w:t xml:space="preserve">Biodroxil </w:t>
      </w:r>
      <w:r w:rsidRPr="00E82419">
        <w:rPr>
          <w:rFonts w:ascii="Times New Roman" w:eastAsia="Times New Roman" w:hAnsi="Times New Roman" w:cs="Times New Roman"/>
          <w:lang w:val="lt-LT"/>
        </w:rPr>
        <w:t>galima vartoti tik gydytojo leidimu.</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Vairavimas ir mechanizmų valdymas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bCs/>
          <w:lang w:val="lt-LT"/>
        </w:rPr>
        <w:t xml:space="preserve">Biodroxil </w:t>
      </w:r>
      <w:r w:rsidRPr="00E82419">
        <w:rPr>
          <w:rFonts w:ascii="Times New Roman" w:eastAsia="Times New Roman" w:hAnsi="Times New Roman" w:cs="Times New Roman"/>
          <w:lang w:val="lt-LT"/>
        </w:rPr>
        <w:t>gali sukelti galvos skausmą, svaigulį, nervingumą, nemigą ir nuovargį, todėl gali daryti įtaką gebėjimui vairuoti ir valdyti mechanizmus.</w:t>
      </w:r>
    </w:p>
    <w:p w:rsidR="00500297"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b/>
          <w:bCs/>
          <w:lang w:val="lt-LT"/>
        </w:rPr>
      </w:pPr>
      <w:r w:rsidRPr="00E82419">
        <w:rPr>
          <w:rFonts w:ascii="Times New Roman" w:eastAsia="Times New Roman" w:hAnsi="Times New Roman" w:cs="Times New Roman"/>
          <w:b/>
          <w:bCs/>
          <w:lang w:val="lt-LT"/>
        </w:rPr>
        <w:t>Biodroxil sudėtyje yra sacharozės</w:t>
      </w:r>
      <w:r>
        <w:rPr>
          <w:rFonts w:ascii="Times New Roman" w:eastAsia="Times New Roman" w:hAnsi="Times New Roman" w:cs="Times New Roman"/>
          <w:b/>
          <w:bCs/>
          <w:lang w:val="lt-LT"/>
        </w:rPr>
        <w:t>, natrio, sorbitolio, sieros dioksido, etanolio.</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5 ml paruoštos geriamosios suspensijos yra maždaug 3,4 g cukraus (sacharozės). Cukriniu diabetu sergantiems žmonėms būtina į tai atsižvelgti.</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Gali kenkti dantims.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Jeigu gydytojas Jums yra sakęs, kad netoleruojate kokių nors angliavandenių, kreipkitės į jį prieš pradėdami vartoti šį vaistą.</w:t>
      </w:r>
    </w:p>
    <w:p w:rsidR="00500297" w:rsidRDefault="00500297" w:rsidP="00500297">
      <w:pPr>
        <w:spacing w:after="0" w:line="240" w:lineRule="auto"/>
        <w:rPr>
          <w:rFonts w:ascii="Times New Roman" w:eastAsia="Times New Roman" w:hAnsi="Times New Roman" w:cs="Times New Roman"/>
          <w:lang w:val="lt-LT"/>
        </w:rPr>
      </w:pPr>
    </w:p>
    <w:p w:rsidR="00500297" w:rsidRPr="00E204BB" w:rsidRDefault="00500297" w:rsidP="0050029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Šio vaisto</w:t>
      </w:r>
      <w:r w:rsidRPr="00E204BB">
        <w:rPr>
          <w:rFonts w:ascii="Times New Roman" w:eastAsia="Times New Roman" w:hAnsi="Times New Roman" w:cs="Times New Roman"/>
          <w:lang w:val="lt-LT"/>
        </w:rPr>
        <w:t xml:space="preserve"> 5 ml paruoštos suspensijos yra mažiau kaip 1 mmol (23 mg) natrio, t.y. jis beveik neturi reikšmės.</w:t>
      </w:r>
    </w:p>
    <w:p w:rsidR="00500297" w:rsidRPr="00E204BB" w:rsidRDefault="00500297" w:rsidP="00500297">
      <w:pPr>
        <w:spacing w:after="0" w:line="240" w:lineRule="auto"/>
        <w:rPr>
          <w:rFonts w:ascii="Times New Roman" w:eastAsia="Times New Roman" w:hAnsi="Times New Roman" w:cs="Times New Roman"/>
          <w:lang w:val="lt-LT"/>
        </w:rPr>
      </w:pPr>
    </w:p>
    <w:p w:rsidR="00500297" w:rsidRPr="00E204BB" w:rsidRDefault="00500297" w:rsidP="0050029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Šio vaisto</w:t>
      </w:r>
      <w:r w:rsidRPr="00E204BB">
        <w:rPr>
          <w:rFonts w:ascii="Times New Roman" w:eastAsia="Times New Roman" w:hAnsi="Times New Roman" w:cs="Times New Roman"/>
          <w:lang w:val="lt-LT"/>
        </w:rPr>
        <w:t xml:space="preserve"> 5 ml paruoštos suspensijos yra 0,86 mg sorbitolio.</w:t>
      </w:r>
    </w:p>
    <w:p w:rsidR="00500297" w:rsidRPr="00E204BB" w:rsidRDefault="00500297" w:rsidP="00500297">
      <w:pPr>
        <w:spacing w:after="0" w:line="240" w:lineRule="auto"/>
        <w:rPr>
          <w:rFonts w:ascii="Times New Roman" w:eastAsia="Times New Roman" w:hAnsi="Times New Roman" w:cs="Times New Roman"/>
          <w:lang w:val="lt-LT"/>
        </w:rPr>
      </w:pPr>
    </w:p>
    <w:p w:rsidR="00500297" w:rsidRPr="00E204BB" w:rsidRDefault="00500297" w:rsidP="0050029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Šio vaisto</w:t>
      </w:r>
      <w:r w:rsidRPr="00E204BB">
        <w:rPr>
          <w:rFonts w:ascii="Times New Roman" w:eastAsia="Times New Roman" w:hAnsi="Times New Roman" w:cs="Times New Roman"/>
          <w:lang w:val="lt-LT"/>
        </w:rPr>
        <w:t xml:space="preserve"> 5 ml paruoštos suspensijos yra 0,64 mikrogramų sieros dioksido. Retais atvejais gali sukelti sunkių padidėjusio jautrumo reakcijų ir bronchų spazmą.</w:t>
      </w:r>
    </w:p>
    <w:p w:rsidR="00500297" w:rsidRPr="00E204BB"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Šio vaisto</w:t>
      </w:r>
      <w:r w:rsidRPr="00E204BB">
        <w:rPr>
          <w:rFonts w:ascii="Times New Roman" w:eastAsia="Times New Roman" w:hAnsi="Times New Roman" w:cs="Times New Roman"/>
          <w:lang w:val="lt-LT"/>
        </w:rPr>
        <w:t xml:space="preserve"> 5 ml suspensijoje yra iki 3,83 mg alkoholio (etanolio). Kiekviename šio vaistinio preparato 5 ml suspensijos atitinka mažiau kaip 1 ml alaus ar 1 ml vyno. Mažas alkoholio kiekis, esantis šio vaisto sudėtyje, nesukelia pastebimo poveikio.</w:t>
      </w:r>
    </w:p>
    <w:p w:rsidR="00500297" w:rsidRDefault="00500297" w:rsidP="00500297">
      <w:pPr>
        <w:numPr>
          <w:ilvl w:val="12"/>
          <w:numId w:val="0"/>
        </w:numPr>
        <w:spacing w:after="0" w:line="240" w:lineRule="auto"/>
        <w:ind w:right="-2"/>
        <w:rPr>
          <w:rFonts w:ascii="Times New Roman" w:eastAsia="Times New Roman" w:hAnsi="Times New Roman" w:cs="Times New Roman"/>
          <w:lang w:val="lt-LT"/>
        </w:rPr>
      </w:pPr>
    </w:p>
    <w:p w:rsidR="00500297" w:rsidRPr="00E82419" w:rsidRDefault="00500297" w:rsidP="00500297">
      <w:pPr>
        <w:numPr>
          <w:ilvl w:val="12"/>
          <w:numId w:val="0"/>
        </w:numPr>
        <w:spacing w:after="0" w:line="240" w:lineRule="auto"/>
        <w:ind w:right="-2"/>
        <w:rPr>
          <w:rFonts w:ascii="Times New Roman" w:eastAsia="Times New Roman" w:hAnsi="Times New Roman" w:cs="Times New Roman"/>
          <w:lang w:val="lt-LT"/>
        </w:rPr>
      </w:pPr>
    </w:p>
    <w:p w:rsidR="00500297" w:rsidRPr="00E82419" w:rsidRDefault="00500297" w:rsidP="00500297">
      <w:pPr>
        <w:spacing w:after="0" w:line="240" w:lineRule="auto"/>
        <w:ind w:left="567" w:hanging="567"/>
        <w:rPr>
          <w:rFonts w:ascii="Times New Roman" w:eastAsia="Times New Roman" w:hAnsi="Times New Roman" w:cs="Times New Roman"/>
          <w:b/>
          <w:lang w:val="lt-LT"/>
        </w:rPr>
      </w:pPr>
      <w:r w:rsidRPr="00E82419">
        <w:rPr>
          <w:rFonts w:ascii="Times New Roman" w:eastAsia="Times New Roman" w:hAnsi="Times New Roman" w:cs="Times New Roman"/>
          <w:b/>
          <w:lang w:val="lt-LT"/>
        </w:rPr>
        <w:t>3.</w:t>
      </w:r>
      <w:r w:rsidRPr="00E82419">
        <w:rPr>
          <w:rFonts w:ascii="Times New Roman" w:eastAsia="Times New Roman" w:hAnsi="Times New Roman" w:cs="Times New Roman"/>
          <w:b/>
          <w:lang w:val="lt-LT"/>
        </w:rPr>
        <w:tab/>
        <w:t>Kaip vartoti Biodroxil</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tabs>
          <w:tab w:val="left" w:pos="567"/>
        </w:tabs>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Visada vartokite šį vaistą tiksliai kaip nurodė gydytojas arba vaistininkas. Jeigu abejojate, kreipkitės į gydytoją arba vaistininką.</w:t>
      </w:r>
    </w:p>
    <w:p w:rsidR="00500297" w:rsidRPr="00E82419" w:rsidRDefault="00500297" w:rsidP="00500297">
      <w:pPr>
        <w:tabs>
          <w:tab w:val="left" w:pos="567"/>
        </w:tabs>
        <w:spacing w:after="0" w:line="240" w:lineRule="auto"/>
        <w:rPr>
          <w:rFonts w:ascii="Times New Roman" w:eastAsia="Times New Roman" w:hAnsi="Times New Roman" w:cs="Times New Roman"/>
          <w:lang w:val="lt-LT"/>
        </w:rPr>
      </w:pPr>
    </w:p>
    <w:p w:rsidR="00500297" w:rsidRPr="00E82419" w:rsidRDefault="00500297" w:rsidP="00500297">
      <w:pPr>
        <w:tabs>
          <w:tab w:val="left" w:pos="567"/>
        </w:tabs>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Tiksliam dozavimui pakuotėje yra matavimo šaukštas (paženklintas 1,25</w:t>
      </w:r>
      <w:r>
        <w:rPr>
          <w:rFonts w:ascii="Times New Roman" w:eastAsia="Times New Roman" w:hAnsi="Times New Roman" w:cs="Times New Roman"/>
          <w:lang w:val="lt-LT"/>
        </w:rPr>
        <w:t> </w:t>
      </w:r>
      <w:r w:rsidRPr="00E82419">
        <w:rPr>
          <w:rFonts w:ascii="Times New Roman" w:eastAsia="Times New Roman" w:hAnsi="Times New Roman" w:cs="Times New Roman"/>
          <w:lang w:val="lt-LT"/>
        </w:rPr>
        <w:t>ml, 2,5</w:t>
      </w:r>
      <w:r>
        <w:rPr>
          <w:rFonts w:ascii="Times New Roman" w:eastAsia="Times New Roman" w:hAnsi="Times New Roman" w:cs="Times New Roman"/>
          <w:lang w:val="lt-LT"/>
        </w:rPr>
        <w:t> </w:t>
      </w:r>
      <w:r w:rsidRPr="00E82419">
        <w:rPr>
          <w:rFonts w:ascii="Times New Roman" w:eastAsia="Times New Roman" w:hAnsi="Times New Roman" w:cs="Times New Roman"/>
          <w:lang w:val="lt-LT"/>
        </w:rPr>
        <w:t>ml ir 5</w:t>
      </w:r>
      <w:r>
        <w:rPr>
          <w:rFonts w:ascii="Times New Roman" w:eastAsia="Times New Roman" w:hAnsi="Times New Roman" w:cs="Times New Roman"/>
          <w:lang w:val="lt-LT"/>
        </w:rPr>
        <w:t> </w:t>
      </w:r>
      <w:r w:rsidRPr="00E82419">
        <w:rPr>
          <w:rFonts w:ascii="Times New Roman" w:eastAsia="Times New Roman" w:hAnsi="Times New Roman" w:cs="Times New Roman"/>
          <w:lang w:val="lt-LT"/>
        </w:rPr>
        <w:t>ml žymomis).</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Paruošta suspensija nuryjama užsigeriant didesniu kiekiu skysčio.</w:t>
      </w: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lang w:val="lt-LT"/>
        </w:rPr>
        <w:t>Maistas gydomajam Biodroxil poveikiui įtakos nedaro.</w:t>
      </w:r>
    </w:p>
    <w:p w:rsidR="00500297" w:rsidRPr="00E82419" w:rsidRDefault="00500297" w:rsidP="00500297">
      <w:pPr>
        <w:spacing w:after="0" w:line="240" w:lineRule="auto"/>
        <w:rPr>
          <w:rFonts w:ascii="Times New Roman" w:eastAsia="Times New Roman" w:hAnsi="Times New Roman" w:cs="Times New Roman"/>
          <w:b/>
          <w:lang w:val="lt-LT"/>
        </w:rPr>
      </w:pPr>
    </w:p>
    <w:p w:rsidR="00500297" w:rsidRPr="00E82419" w:rsidRDefault="00500297" w:rsidP="00500297">
      <w:pPr>
        <w:spacing w:after="0" w:line="240" w:lineRule="auto"/>
        <w:rPr>
          <w:rFonts w:ascii="Times New Roman" w:eastAsia="Times New Roman" w:hAnsi="Times New Roman" w:cs="Times New Roman"/>
          <w:u w:val="single"/>
          <w:lang w:val="lt-LT"/>
        </w:rPr>
      </w:pPr>
      <w:r w:rsidRPr="00E82419">
        <w:rPr>
          <w:rFonts w:ascii="Times New Roman" w:eastAsia="Times New Roman" w:hAnsi="Times New Roman" w:cs="Times New Roman"/>
          <w:u w:val="single"/>
          <w:lang w:val="lt-LT"/>
        </w:rPr>
        <w:t>Geriamosios suspensijos ruošimas</w:t>
      </w:r>
    </w:p>
    <w:p w:rsidR="00500297" w:rsidRPr="00E82419" w:rsidRDefault="00500297" w:rsidP="00500297">
      <w:pPr>
        <w:spacing w:after="0" w:line="240" w:lineRule="auto"/>
        <w:rPr>
          <w:rFonts w:ascii="Times New Roman" w:eastAsia="Times New Roman" w:hAnsi="Times New Roman" w:cs="Times New Roman"/>
          <w:lang w:val="lt-LT"/>
        </w:rPr>
      </w:pPr>
    </w:p>
    <w:tbl>
      <w:tblPr>
        <w:tblW w:w="0" w:type="auto"/>
        <w:tblLayout w:type="fixed"/>
        <w:tblLook w:val="04A0" w:firstRow="1" w:lastRow="0" w:firstColumn="1" w:lastColumn="0" w:noHBand="0" w:noVBand="1"/>
      </w:tblPr>
      <w:tblGrid>
        <w:gridCol w:w="1384"/>
        <w:gridCol w:w="7655"/>
      </w:tblGrid>
      <w:tr w:rsidR="00500297" w:rsidRPr="00A4553D" w:rsidTr="00D77624">
        <w:trPr>
          <w:trHeight w:val="1833"/>
        </w:trPr>
        <w:tc>
          <w:tcPr>
            <w:tcW w:w="1384" w:type="dxa"/>
            <w:hideMark/>
          </w:tcPr>
          <w:p w:rsidR="00500297" w:rsidRPr="00E82419" w:rsidRDefault="00500297" w:rsidP="00D77624">
            <w:pPr>
              <w:spacing w:after="0" w:line="240" w:lineRule="auto"/>
              <w:rPr>
                <w:rFonts w:ascii="Times New Roman" w:eastAsia="Times New Roman" w:hAnsi="Times New Roman" w:cs="Times New Roman"/>
                <w:lang w:val="lt-LT"/>
              </w:rPr>
            </w:pPr>
            <w:r>
              <w:object w:dxaOrig="64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2.25pt" o:ole="">
                  <v:imagedata r:id="rId5" o:title=""/>
                </v:shape>
                <o:OLEObject Type="Embed" ProgID="PBrush" ShapeID="_x0000_i1025" DrawAspect="Content" ObjectID="_1681214173" r:id="rId6"/>
              </w:object>
            </w:r>
          </w:p>
        </w:tc>
        <w:tc>
          <w:tcPr>
            <w:tcW w:w="7655" w:type="dxa"/>
          </w:tcPr>
          <w:p w:rsidR="00500297" w:rsidRPr="00E82419" w:rsidRDefault="00500297" w:rsidP="00D77624">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 xml:space="preserve">Įpilkite į buteliuką </w:t>
            </w:r>
            <w:r>
              <w:rPr>
                <w:rFonts w:ascii="Times New Roman" w:eastAsia="Times New Roman" w:hAnsi="Times New Roman" w:cs="Times New Roman"/>
                <w:lang w:val="lt-LT"/>
              </w:rPr>
              <w:t xml:space="preserve">30 ml </w:t>
            </w:r>
            <w:r w:rsidRPr="00E82419">
              <w:rPr>
                <w:rFonts w:ascii="Times New Roman" w:eastAsia="Times New Roman" w:hAnsi="Times New Roman" w:cs="Times New Roman"/>
                <w:lang w:val="lt-LT"/>
              </w:rPr>
              <w:t xml:space="preserve">geriamojo vandens </w:t>
            </w:r>
            <w:r w:rsidRPr="00F578BC">
              <w:rPr>
                <w:rFonts w:ascii="Times New Roman" w:eastAsia="Times New Roman" w:hAnsi="Times New Roman" w:cs="Times New Roman"/>
                <w:lang w:val="lt-LT"/>
              </w:rPr>
              <w:t>(atitinka 6 matavimo šaukštus)</w:t>
            </w:r>
            <w:r w:rsidRPr="00E82419">
              <w:rPr>
                <w:rFonts w:ascii="Times New Roman" w:eastAsia="Times New Roman" w:hAnsi="Times New Roman" w:cs="Times New Roman"/>
                <w:lang w:val="lt-LT"/>
              </w:rPr>
              <w:t xml:space="preserve"> ir stipriai pakratykite</w:t>
            </w:r>
            <w:r>
              <w:rPr>
                <w:rFonts w:ascii="Times New Roman" w:eastAsia="Times New Roman" w:hAnsi="Times New Roman" w:cs="Times New Roman"/>
                <w:lang w:val="lt-LT"/>
              </w:rPr>
              <w:t>.</w:t>
            </w:r>
          </w:p>
          <w:p w:rsidR="00500297" w:rsidRPr="00E82419" w:rsidRDefault="00500297" w:rsidP="00D77624">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Paruošta suspensija yra baltos ar švelniai gelsvos spalvos.</w:t>
            </w:r>
          </w:p>
          <w:p w:rsidR="00500297" w:rsidRPr="00E82419" w:rsidRDefault="00500297" w:rsidP="00D77624">
            <w:pPr>
              <w:spacing w:after="0" w:line="240" w:lineRule="auto"/>
              <w:rPr>
                <w:rFonts w:ascii="Times New Roman" w:eastAsia="Times New Roman" w:hAnsi="Times New Roman" w:cs="Times New Roman"/>
                <w:lang w:val="lt-LT"/>
              </w:rPr>
            </w:pPr>
          </w:p>
          <w:p w:rsidR="00500297" w:rsidRPr="00E82419" w:rsidRDefault="00500297" w:rsidP="00D77624">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 xml:space="preserve">Buteliuką būtina stipriai pakratyti prieš kiekvieną vartojimą. </w:t>
            </w:r>
          </w:p>
        </w:tc>
      </w:tr>
    </w:tbl>
    <w:p w:rsidR="00500297" w:rsidRPr="00E82419" w:rsidRDefault="00500297" w:rsidP="00500297">
      <w:pPr>
        <w:spacing w:after="0" w:line="240" w:lineRule="auto"/>
        <w:rPr>
          <w:rFonts w:ascii="Times New Roman" w:eastAsia="Times New Roman" w:hAnsi="Times New Roman" w:cs="Times New Roman"/>
          <w:b/>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Suaugusiesiems ir vaikams, sveriantiems daugiau kaip 40 kg</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u w:val="single"/>
          <w:lang w:val="lt-LT"/>
        </w:rPr>
      </w:pPr>
      <w:r w:rsidRPr="00E82419">
        <w:rPr>
          <w:rFonts w:ascii="Times New Roman" w:eastAsia="Times New Roman" w:hAnsi="Times New Roman" w:cs="Times New Roman"/>
          <w:u w:val="single"/>
          <w:lang w:val="lt-LT"/>
        </w:rPr>
        <w:t>Tonzilių ir gerklės uždegimas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Įprasta dozė yra 1 g</w:t>
      </w:r>
      <w:r>
        <w:rPr>
          <w:rFonts w:ascii="Times New Roman" w:eastAsia="Times New Roman" w:hAnsi="Times New Roman" w:cs="Times New Roman"/>
          <w:lang w:val="lt-LT"/>
        </w:rPr>
        <w:t xml:space="preserve"> </w:t>
      </w:r>
      <w:r w:rsidRPr="00E82419">
        <w:rPr>
          <w:rFonts w:ascii="Times New Roman" w:eastAsia="Times New Roman" w:hAnsi="Times New Roman" w:cs="Times New Roman"/>
          <w:lang w:val="lt-LT"/>
        </w:rPr>
        <w:t>(4 matavimo šaukštai) per parą. Ji išgeriama iš karto arba padalijama į 2 lygias dozes. Vaistas vartojamas 10 parų.</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u w:val="single"/>
          <w:lang w:val="lt-LT"/>
        </w:rPr>
      </w:pPr>
      <w:r w:rsidRPr="00E82419">
        <w:rPr>
          <w:rFonts w:ascii="Times New Roman" w:eastAsia="Times New Roman" w:hAnsi="Times New Roman" w:cs="Times New Roman"/>
          <w:u w:val="single"/>
          <w:lang w:val="lt-LT"/>
        </w:rPr>
        <w:t>Odos ir poodinio audinio infekcinės ligos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Įprasta dozė yra 1 g</w:t>
      </w:r>
      <w:r>
        <w:rPr>
          <w:rFonts w:ascii="Times New Roman" w:eastAsia="Times New Roman" w:hAnsi="Times New Roman" w:cs="Times New Roman"/>
          <w:lang w:val="lt-LT"/>
        </w:rPr>
        <w:t xml:space="preserve"> </w:t>
      </w:r>
      <w:r w:rsidRPr="00E82419">
        <w:rPr>
          <w:rFonts w:ascii="Times New Roman" w:eastAsia="Times New Roman" w:hAnsi="Times New Roman" w:cs="Times New Roman"/>
          <w:lang w:val="lt-LT"/>
        </w:rPr>
        <w:t>(4 matavimo šaukštai) per parą. Ji išgeriama iš karto arba padalijama į 2 lygias vienkartines dozes.</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u w:val="single"/>
          <w:lang w:val="lt-LT"/>
        </w:rPr>
      </w:pPr>
      <w:r w:rsidRPr="00E82419">
        <w:rPr>
          <w:rFonts w:ascii="Times New Roman" w:eastAsia="Times New Roman" w:hAnsi="Times New Roman" w:cs="Times New Roman"/>
          <w:u w:val="single"/>
          <w:lang w:val="lt-LT"/>
        </w:rPr>
        <w:t>Šlapimo takų infekcinės ligos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Įprasta dozė yra 2 g (8 matavimo šaukštai) per parą. Ji padalijama į 2 lygias vienkartines dozes.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lastRenderedPageBreak/>
        <w:t>Įprasta dozė nekomplikuotoms apatinių šlapimo takų infekcinėms ligoms (t.y. šlapimo pūslės uždegimui) gydyti yra 1 g (4 matavimo šaukštai) arba 2 g (8 matavimo šaukštai) per parą. Ji išgeriama iš karto arba padalijama į 2 lygias vienkartines dozes.</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Vaikams, sveriantiems mažiau kaip 40 kg</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Rekomenduojama įprasta paros dozė yra 25 – 50 mg/kg kūno svorio. Ji lygiomis dalimis išgeriama per du kartus (kas 12 val.).</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Gydant tonzilių ar gerklės uždegimą arba impetigą (pūlinėlinę), visą rekomenduojamą paros dozę galima išgerti vienu kartu.</w:t>
      </w:r>
    </w:p>
    <w:p w:rsidR="00500297"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Vaikams negalima vartoti didesnės paros dozės už didžiausią nurodytą suaugusiesiems.</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u w:val="single"/>
          <w:lang w:val="lt-LT"/>
        </w:rPr>
      </w:pPr>
      <w:r w:rsidRPr="00E82419">
        <w:rPr>
          <w:rFonts w:ascii="Times New Roman" w:eastAsia="Times New Roman" w:hAnsi="Times New Roman" w:cs="Times New Roman"/>
          <w:u w:val="single"/>
          <w:lang w:val="lt-LT"/>
        </w:rPr>
        <w:t>Dozavimo rekomendacijos matavimo šaukštais (MŠ)*: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596"/>
        <w:gridCol w:w="3569"/>
      </w:tblGrid>
      <w:tr w:rsidR="00500297" w:rsidRPr="00A4553D" w:rsidTr="00D77624">
        <w:tc>
          <w:tcPr>
            <w:tcW w:w="2118"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b/>
                <w:lang w:val="lt-LT"/>
              </w:rPr>
            </w:pPr>
            <w:r w:rsidRPr="00E82419">
              <w:rPr>
                <w:rFonts w:ascii="Times New Roman" w:eastAsia="Times New Roman" w:hAnsi="Times New Roman" w:cs="Times New Roman"/>
                <w:b/>
                <w:lang w:val="lt-LT"/>
              </w:rPr>
              <w:t>Kūno svoris (kg)</w:t>
            </w:r>
          </w:p>
        </w:tc>
        <w:tc>
          <w:tcPr>
            <w:tcW w:w="3677"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b/>
                <w:lang w:val="lt-LT"/>
              </w:rPr>
            </w:pPr>
            <w:r w:rsidRPr="00E82419">
              <w:rPr>
                <w:rFonts w:ascii="Times New Roman" w:eastAsia="Times New Roman" w:hAnsi="Times New Roman" w:cs="Times New Roman"/>
                <w:b/>
                <w:lang w:val="lt-LT"/>
              </w:rPr>
              <w:t>Vienkartinė dozė</w:t>
            </w:r>
          </w:p>
        </w:tc>
        <w:tc>
          <w:tcPr>
            <w:tcW w:w="3667" w:type="dxa"/>
            <w:tcBorders>
              <w:top w:val="single" w:sz="4" w:space="0" w:color="auto"/>
              <w:left w:val="single" w:sz="4" w:space="0" w:color="auto"/>
              <w:bottom w:val="single" w:sz="4" w:space="0" w:color="auto"/>
              <w:right w:val="single" w:sz="4" w:space="0" w:color="auto"/>
            </w:tcBorders>
          </w:tcPr>
          <w:p w:rsidR="00500297" w:rsidRPr="00E82419" w:rsidDel="002C47A0" w:rsidRDefault="00500297" w:rsidP="00D77624">
            <w:pPr>
              <w:spacing w:after="0" w:line="240" w:lineRule="auto"/>
              <w:jc w:val="center"/>
              <w:rPr>
                <w:rFonts w:ascii="Times New Roman" w:eastAsia="Times New Roman" w:hAnsi="Times New Roman" w:cs="Times New Roman"/>
                <w:b/>
                <w:lang w:val="lt-LT"/>
              </w:rPr>
            </w:pPr>
            <w:r w:rsidRPr="00E82419">
              <w:rPr>
                <w:rFonts w:ascii="Times New Roman" w:eastAsia="Times New Roman" w:hAnsi="Times New Roman" w:cs="Times New Roman"/>
                <w:b/>
                <w:lang w:val="lt-LT"/>
              </w:rPr>
              <w:t>Kiek kartų per parą vartoti</w:t>
            </w:r>
          </w:p>
        </w:tc>
      </w:tr>
      <w:tr w:rsidR="00500297" w:rsidRPr="00E82419" w:rsidTr="00D77624">
        <w:tc>
          <w:tcPr>
            <w:tcW w:w="2118"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9 - 17</w:t>
            </w:r>
          </w:p>
        </w:tc>
        <w:tc>
          <w:tcPr>
            <w:tcW w:w="3677"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1 – 1,5 MŠ</w:t>
            </w:r>
          </w:p>
        </w:tc>
        <w:tc>
          <w:tcPr>
            <w:tcW w:w="3667" w:type="dxa"/>
            <w:tcBorders>
              <w:top w:val="single" w:sz="4" w:space="0" w:color="auto"/>
              <w:left w:val="single" w:sz="4" w:space="0" w:color="auto"/>
              <w:bottom w:val="single" w:sz="4" w:space="0" w:color="auto"/>
              <w:right w:val="single" w:sz="4" w:space="0" w:color="auto"/>
            </w:tcBorders>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2</w:t>
            </w:r>
          </w:p>
        </w:tc>
      </w:tr>
      <w:tr w:rsidR="00500297" w:rsidRPr="00E82419" w:rsidTr="00D77624">
        <w:tc>
          <w:tcPr>
            <w:tcW w:w="2118"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18 - 26</w:t>
            </w:r>
          </w:p>
        </w:tc>
        <w:tc>
          <w:tcPr>
            <w:tcW w:w="3677"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2 – 2,5 MŠ</w:t>
            </w:r>
          </w:p>
        </w:tc>
        <w:tc>
          <w:tcPr>
            <w:tcW w:w="3667" w:type="dxa"/>
            <w:tcBorders>
              <w:top w:val="single" w:sz="4" w:space="0" w:color="auto"/>
              <w:left w:val="single" w:sz="4" w:space="0" w:color="auto"/>
              <w:bottom w:val="single" w:sz="4" w:space="0" w:color="auto"/>
              <w:right w:val="single" w:sz="4" w:space="0" w:color="auto"/>
            </w:tcBorders>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2</w:t>
            </w:r>
          </w:p>
        </w:tc>
      </w:tr>
      <w:tr w:rsidR="00500297" w:rsidRPr="00E82419" w:rsidTr="00D77624">
        <w:tc>
          <w:tcPr>
            <w:tcW w:w="2118"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27 - 35</w:t>
            </w:r>
          </w:p>
        </w:tc>
        <w:tc>
          <w:tcPr>
            <w:tcW w:w="3677"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3 – 3,5 MŠ</w:t>
            </w:r>
          </w:p>
        </w:tc>
        <w:tc>
          <w:tcPr>
            <w:tcW w:w="3667" w:type="dxa"/>
            <w:tcBorders>
              <w:top w:val="single" w:sz="4" w:space="0" w:color="auto"/>
              <w:left w:val="single" w:sz="4" w:space="0" w:color="auto"/>
              <w:bottom w:val="single" w:sz="4" w:space="0" w:color="auto"/>
              <w:right w:val="single" w:sz="4" w:space="0" w:color="auto"/>
            </w:tcBorders>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2</w:t>
            </w:r>
          </w:p>
        </w:tc>
      </w:tr>
      <w:tr w:rsidR="00500297" w:rsidRPr="00E82419" w:rsidTr="00D77624">
        <w:tc>
          <w:tcPr>
            <w:tcW w:w="2118"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&gt;36</w:t>
            </w:r>
          </w:p>
        </w:tc>
        <w:tc>
          <w:tcPr>
            <w:tcW w:w="3677"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4 MŠ</w:t>
            </w:r>
          </w:p>
        </w:tc>
        <w:tc>
          <w:tcPr>
            <w:tcW w:w="3667" w:type="dxa"/>
            <w:tcBorders>
              <w:top w:val="single" w:sz="4" w:space="0" w:color="auto"/>
              <w:left w:val="single" w:sz="4" w:space="0" w:color="auto"/>
              <w:bottom w:val="single" w:sz="4" w:space="0" w:color="auto"/>
              <w:right w:val="single" w:sz="4" w:space="0" w:color="auto"/>
            </w:tcBorders>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2</w:t>
            </w:r>
          </w:p>
        </w:tc>
      </w:tr>
    </w:tbl>
    <w:p w:rsidR="00500297" w:rsidRPr="00E82419" w:rsidRDefault="00500297" w:rsidP="00500297">
      <w:pPr>
        <w:spacing w:after="0" w:line="240" w:lineRule="auto"/>
        <w:ind w:left="567"/>
        <w:rPr>
          <w:rFonts w:ascii="Times New Roman" w:eastAsia="Times New Roman" w:hAnsi="Times New Roman" w:cs="Times New Roman"/>
          <w:lang w:val="lt-LT"/>
        </w:rPr>
      </w:pPr>
      <w:r w:rsidRPr="00E82419">
        <w:rPr>
          <w:rFonts w:ascii="Times New Roman" w:eastAsia="Times New Roman" w:hAnsi="Times New Roman" w:cs="Times New Roman"/>
          <w:lang w:val="lt-LT"/>
        </w:rPr>
        <w:t>* remiantis 50</w:t>
      </w:r>
      <w:r>
        <w:rPr>
          <w:rFonts w:ascii="Times New Roman" w:eastAsia="Times New Roman" w:hAnsi="Times New Roman" w:cs="Times New Roman"/>
          <w:lang w:val="lt-LT"/>
        </w:rPr>
        <w:t> </w:t>
      </w:r>
      <w:r w:rsidRPr="00E82419">
        <w:rPr>
          <w:rFonts w:ascii="Times New Roman" w:eastAsia="Times New Roman" w:hAnsi="Times New Roman" w:cs="Times New Roman"/>
          <w:lang w:val="lt-LT"/>
        </w:rPr>
        <w:t>mg/kg kūno svorio paros doze</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tabs>
          <w:tab w:val="left" w:pos="567"/>
        </w:tabs>
        <w:spacing w:before="120"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Ligoniams, kurių inkstų veikla sutrikusi</w:t>
      </w:r>
    </w:p>
    <w:p w:rsidR="00500297" w:rsidRPr="00E82419" w:rsidRDefault="00500297" w:rsidP="00500297">
      <w:pPr>
        <w:tabs>
          <w:tab w:val="left" w:pos="567"/>
        </w:tabs>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Biodroxil dozę nustato gydytojas, įvertinęs inkstų veiklos sutrikimo sunkumą pagal kreatinino klirenso (tam tikro inkstų veiklą atspindinčio rodiklio) rodmenis.</w:t>
      </w:r>
    </w:p>
    <w:p w:rsidR="00500297" w:rsidRPr="00E82419" w:rsidRDefault="00500297" w:rsidP="00500297">
      <w:pPr>
        <w:tabs>
          <w:tab w:val="left" w:pos="567"/>
        </w:tabs>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Ligoniams, kurių kreatinino klirensas yra 50</w:t>
      </w:r>
      <w:r>
        <w:rPr>
          <w:rFonts w:ascii="Times New Roman" w:eastAsia="Times New Roman" w:hAnsi="Times New Roman" w:cs="Times New Roman"/>
          <w:lang w:val="lt-LT"/>
        </w:rPr>
        <w:t> </w:t>
      </w:r>
      <w:r w:rsidRPr="00E82419">
        <w:rPr>
          <w:rFonts w:ascii="Times New Roman" w:eastAsia="Times New Roman" w:hAnsi="Times New Roman" w:cs="Times New Roman"/>
          <w:lang w:val="lt-LT"/>
        </w:rPr>
        <w:t>ml/min., rekomenduojama vadovautis šia sumažinto dozavimo schema: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4"/>
        <w:gridCol w:w="1985"/>
        <w:gridCol w:w="1559"/>
      </w:tblGrid>
      <w:tr w:rsidR="00500297" w:rsidRPr="00E82419" w:rsidTr="00D77624">
        <w:tc>
          <w:tcPr>
            <w:tcW w:w="2835"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Kreatinino klirensas</w:t>
            </w:r>
          </w:p>
          <w:p w:rsidR="00500297" w:rsidRPr="00E82419" w:rsidRDefault="00500297" w:rsidP="00D77624">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(ml/min./1,73</w:t>
            </w:r>
            <w:r>
              <w:rPr>
                <w:rFonts w:ascii="Times New Roman" w:eastAsia="Times New Roman" w:hAnsi="Times New Roman" w:cs="Times New Roman"/>
                <w:b/>
                <w:lang w:val="lt-LT"/>
              </w:rPr>
              <w:t> </w:t>
            </w:r>
            <w:r w:rsidRPr="00E82419">
              <w:rPr>
                <w:rFonts w:ascii="Times New Roman" w:eastAsia="Times New Roman" w:hAnsi="Times New Roman" w:cs="Times New Roman"/>
                <w:b/>
                <w:lang w:val="lt-LT"/>
              </w:rPr>
              <w:t>m</w:t>
            </w:r>
            <w:r w:rsidRPr="00E82419">
              <w:rPr>
                <w:rFonts w:ascii="Times New Roman" w:eastAsia="Times New Roman" w:hAnsi="Times New Roman" w:cs="Times New Roman"/>
                <w:b/>
                <w:vertAlign w:val="superscript"/>
                <w:lang w:val="lt-LT"/>
              </w:rPr>
              <w:t>2</w:t>
            </w:r>
            <w:r w:rsidRPr="00E82419">
              <w:rPr>
                <w:rFonts w:ascii="Times New Roman" w:eastAsia="Times New Roman" w:hAnsi="Times New Roman" w:cs="Times New Roman"/>
                <w:b/>
                <w:lang w:val="lt-LT"/>
              </w:rPr>
              <w:t>)</w:t>
            </w:r>
          </w:p>
        </w:tc>
        <w:tc>
          <w:tcPr>
            <w:tcW w:w="1984"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both"/>
              <w:outlineLvl w:val="6"/>
              <w:rPr>
                <w:rFonts w:ascii="Times New Roman" w:eastAsia="Times New Roman" w:hAnsi="Times New Roman" w:cs="Times New Roman"/>
                <w:b/>
                <w:lang w:val="lt-LT"/>
              </w:rPr>
            </w:pPr>
            <w:r w:rsidRPr="00E82419">
              <w:rPr>
                <w:rFonts w:ascii="Times New Roman" w:eastAsia="Times New Roman" w:hAnsi="Times New Roman" w:cs="Times New Roman"/>
                <w:b/>
                <w:lang w:val="lt-LT"/>
              </w:rPr>
              <w:t>Pradinė dozė</w:t>
            </w:r>
          </w:p>
        </w:tc>
        <w:tc>
          <w:tcPr>
            <w:tcW w:w="1985"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both"/>
              <w:outlineLvl w:val="6"/>
              <w:rPr>
                <w:rFonts w:ascii="Times New Roman" w:eastAsia="Times New Roman" w:hAnsi="Times New Roman" w:cs="Times New Roman"/>
                <w:b/>
                <w:lang w:val="lt-LT"/>
              </w:rPr>
            </w:pPr>
            <w:r w:rsidRPr="00E82419">
              <w:rPr>
                <w:rFonts w:ascii="Times New Roman" w:eastAsia="Times New Roman" w:hAnsi="Times New Roman" w:cs="Times New Roman"/>
                <w:b/>
                <w:lang w:val="lt-LT"/>
              </w:rPr>
              <w:t>Palaikomoji dozė</w:t>
            </w:r>
          </w:p>
        </w:tc>
        <w:tc>
          <w:tcPr>
            <w:tcW w:w="1559"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Intervalai tarp dozių</w:t>
            </w:r>
          </w:p>
        </w:tc>
      </w:tr>
      <w:tr w:rsidR="00500297" w:rsidRPr="00E82419" w:rsidTr="00D77624">
        <w:tc>
          <w:tcPr>
            <w:tcW w:w="2835"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50-25</w:t>
            </w:r>
          </w:p>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10-25</w:t>
            </w:r>
          </w:p>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10-0</w:t>
            </w:r>
          </w:p>
        </w:tc>
        <w:tc>
          <w:tcPr>
            <w:tcW w:w="1984"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1000</w:t>
            </w:r>
            <w:r>
              <w:rPr>
                <w:rFonts w:ascii="Times New Roman" w:eastAsia="Times New Roman" w:hAnsi="Times New Roman" w:cs="Times New Roman"/>
                <w:lang w:val="lt-LT"/>
              </w:rPr>
              <w:t> </w:t>
            </w:r>
            <w:r w:rsidRPr="00E82419">
              <w:rPr>
                <w:rFonts w:ascii="Times New Roman" w:eastAsia="Times New Roman" w:hAnsi="Times New Roman" w:cs="Times New Roman"/>
                <w:lang w:val="lt-LT"/>
              </w:rPr>
              <w:t>mg (4 MŠ)</w:t>
            </w:r>
          </w:p>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1000 mg (4 MŠ)</w:t>
            </w:r>
          </w:p>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1000 mg (4 MŠ)</w:t>
            </w:r>
          </w:p>
        </w:tc>
        <w:tc>
          <w:tcPr>
            <w:tcW w:w="1985"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500 mg (2 MŠ)</w:t>
            </w:r>
          </w:p>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500 mg (2 MŠ)</w:t>
            </w:r>
          </w:p>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500 mg (2 MŠ)</w:t>
            </w:r>
          </w:p>
        </w:tc>
        <w:tc>
          <w:tcPr>
            <w:tcW w:w="1559" w:type="dxa"/>
            <w:tcBorders>
              <w:top w:val="single" w:sz="4" w:space="0" w:color="auto"/>
              <w:left w:val="single" w:sz="4" w:space="0" w:color="auto"/>
              <w:bottom w:val="single" w:sz="4" w:space="0" w:color="auto"/>
              <w:right w:val="single" w:sz="4" w:space="0" w:color="auto"/>
            </w:tcBorders>
            <w:hideMark/>
          </w:tcPr>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12 val.</w:t>
            </w:r>
          </w:p>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24 val.</w:t>
            </w:r>
          </w:p>
          <w:p w:rsidR="00500297" w:rsidRPr="00E82419" w:rsidRDefault="00500297" w:rsidP="00D77624">
            <w:pPr>
              <w:spacing w:after="0" w:line="240" w:lineRule="auto"/>
              <w:jc w:val="center"/>
              <w:rPr>
                <w:rFonts w:ascii="Times New Roman" w:eastAsia="Times New Roman" w:hAnsi="Times New Roman" w:cs="Times New Roman"/>
                <w:lang w:val="lt-LT"/>
              </w:rPr>
            </w:pPr>
            <w:r w:rsidRPr="00E82419">
              <w:rPr>
                <w:rFonts w:ascii="Times New Roman" w:eastAsia="Times New Roman" w:hAnsi="Times New Roman" w:cs="Times New Roman"/>
                <w:lang w:val="lt-LT"/>
              </w:rPr>
              <w:t>36 val.</w:t>
            </w:r>
          </w:p>
        </w:tc>
      </w:tr>
    </w:tbl>
    <w:p w:rsidR="00500297" w:rsidRPr="00E82419" w:rsidRDefault="00500297" w:rsidP="00500297">
      <w:pPr>
        <w:spacing w:after="0" w:line="240" w:lineRule="auto"/>
        <w:rPr>
          <w:rFonts w:ascii="Times New Roman" w:eastAsia="Times New Roman" w:hAnsi="Times New Roman" w:cs="Times New Roman"/>
          <w:i/>
          <w:u w:val="single"/>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Ligoniams, kuriems atliekama inkstų dializė</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Tokiems ligoniams</w:t>
      </w:r>
      <w:r>
        <w:rPr>
          <w:rFonts w:ascii="Times New Roman" w:eastAsia="Times New Roman" w:hAnsi="Times New Roman" w:cs="Times New Roman"/>
          <w:lang w:val="lt-LT"/>
        </w:rPr>
        <w:t xml:space="preserve"> </w:t>
      </w:r>
      <w:r w:rsidRPr="00E82419">
        <w:rPr>
          <w:rFonts w:ascii="Times New Roman" w:eastAsia="Times New Roman" w:hAnsi="Times New Roman" w:cs="Times New Roman"/>
          <w:lang w:val="lt-LT"/>
        </w:rPr>
        <w:t>500 mg dozę (2 matavimo šaukštus) reikia gerti likus 48 val. iki dializės ir 500 mg dozę (2 matavimo šaukštus) ją baigus. Tokia pat dozę reikia gerti ir likus 48 valandoms iki kitos dializės, jei dializė atliekama du ar tris kartus per savaitę.</w:t>
      </w:r>
    </w:p>
    <w:p w:rsidR="00500297" w:rsidRPr="00E82419" w:rsidRDefault="00500297" w:rsidP="00500297">
      <w:pPr>
        <w:spacing w:before="120"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Gydymo trukmė</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Biodroxil paprastai gydoma 7-10 parų, tačiau jo patariama vartoti dar 2-3 paras po to, kai išnyksta ligos simptomai. Tam tikros bakterijos (</w:t>
      </w:r>
      <w:r w:rsidRPr="00E82419">
        <w:rPr>
          <w:rFonts w:ascii="Times New Roman" w:eastAsia="Times New Roman" w:hAnsi="Times New Roman" w:cs="Times New Roman"/>
          <w:i/>
          <w:lang w:val="lt-LT"/>
        </w:rPr>
        <w:t>Streptococcus pyogenes)</w:t>
      </w:r>
      <w:r w:rsidRPr="00E82419">
        <w:rPr>
          <w:rFonts w:ascii="Times New Roman" w:eastAsia="Times New Roman" w:hAnsi="Times New Roman" w:cs="Times New Roman"/>
          <w:lang w:val="lt-LT"/>
        </w:rPr>
        <w:t xml:space="preserve"> sukeltą infekcinę ligą reikia gydyti ne trumpiau kaip 10 parų.</w:t>
      </w:r>
    </w:p>
    <w:p w:rsidR="00500297" w:rsidRPr="00E82419" w:rsidRDefault="00500297" w:rsidP="00500297">
      <w:pPr>
        <w:spacing w:after="0" w:line="240" w:lineRule="auto"/>
        <w:rPr>
          <w:rFonts w:ascii="Times New Roman" w:eastAsia="Times New Roman" w:hAnsi="Times New Roman" w:cs="Times New Roman"/>
          <w:b/>
          <w:lang w:val="lt-LT"/>
        </w:rPr>
      </w:pPr>
    </w:p>
    <w:p w:rsidR="00500297" w:rsidRPr="00E82419" w:rsidRDefault="00500297" w:rsidP="00500297">
      <w:pPr>
        <w:spacing w:after="0" w:line="240" w:lineRule="auto"/>
        <w:rPr>
          <w:rFonts w:ascii="Times New Roman" w:eastAsia="Times New Roman" w:hAnsi="Times New Roman" w:cs="Times New Roman"/>
          <w:b/>
          <w:u w:val="single"/>
          <w:lang w:val="lt-LT"/>
        </w:rPr>
      </w:pPr>
      <w:r w:rsidRPr="00E82419">
        <w:rPr>
          <w:rFonts w:ascii="Times New Roman" w:eastAsia="Times New Roman" w:hAnsi="Times New Roman" w:cs="Times New Roman"/>
          <w:b/>
          <w:lang w:val="lt-LT"/>
        </w:rPr>
        <w:t>Ką daryti pavartojus per didelę Biodroxil dozę?</w:t>
      </w:r>
    </w:p>
    <w:p w:rsidR="00500297" w:rsidRPr="00E82419" w:rsidRDefault="00500297" w:rsidP="00500297">
      <w:pPr>
        <w:tabs>
          <w:tab w:val="left" w:pos="567"/>
        </w:tabs>
        <w:spacing w:after="0" w:line="240" w:lineRule="auto"/>
        <w:rPr>
          <w:rFonts w:ascii="Times New Roman" w:eastAsia="Times New Roman" w:hAnsi="Times New Roman" w:cs="Times New Roman"/>
          <w:i/>
          <w:lang w:val="lt-LT"/>
        </w:rPr>
      </w:pPr>
      <w:r w:rsidRPr="00E82419">
        <w:rPr>
          <w:rFonts w:ascii="Times New Roman" w:eastAsia="Times New Roman" w:hAnsi="Times New Roman" w:cs="Times New Roman"/>
          <w:lang w:val="lt-LT"/>
        </w:rPr>
        <w:t>Jeigu įtariate, kad išgėrėte per didelę vaisto dozę arba manote, kad jo nurijo vaikas, nedelsdami kvieskite gydytoją. Gali sutrikti inkstų veikla, virškinimas, pritemti sąmonė, sustiprėti refleksai, išberti odą. Vaisto perdozavus, tuoj pat būtina sukelti vėmimą arba išplauti skrandį, gerti daug skysčių.</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Pamiršus pavartoti Biodroxil</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Jeigu įprastiniu laiku vaisto išgerti pamiršite, gerkite jo tuoj pat, kai tik prisiminsite, tačiau jeigu iki kitos dozės vartojimo laiko bus likę mažiau negu 4 valandos, užmirštosios dozės negerkite, o toliau vaisto vartokite įprastu laiku. Negalima vartoti dvigubos dozės norint kompensuoti praleistą dozę.</w:t>
      </w:r>
    </w:p>
    <w:p w:rsidR="00500297" w:rsidRPr="00E82419" w:rsidRDefault="00500297" w:rsidP="00500297">
      <w:pPr>
        <w:spacing w:after="0" w:line="240" w:lineRule="auto"/>
        <w:rPr>
          <w:rFonts w:ascii="Times New Roman" w:eastAsia="Times New Roman" w:hAnsi="Times New Roman" w:cs="Times New Roman"/>
          <w:b/>
          <w:bCs/>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Nustojus vartoti Biodroxil</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Jeigu Jūs nutrauksite Biodroxil vartojimą nebaigę viso gydymo kurso, gali vėl atsirasti ligos simptomų, kadangi Jūs esate ne visiškai pasveikę. Jeigu Jūs norite nutraukti Biodroxil vartojimą nebaigę viso gydymo kurso, prieš tai reikia pasitarti su gydytoju ar vaistininku.</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lastRenderedPageBreak/>
        <w:t>Jeigu kiltų daugiau klausimų dėl šio vaisto vartojimo, kreipkitės į gydytoją arba vaistininką.</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ind w:left="567" w:hanging="567"/>
        <w:rPr>
          <w:rFonts w:ascii="Times New Roman" w:eastAsia="Times New Roman" w:hAnsi="Times New Roman" w:cs="Times New Roman"/>
          <w:b/>
          <w:lang w:val="lt-LT"/>
        </w:rPr>
      </w:pPr>
      <w:r w:rsidRPr="00E82419">
        <w:rPr>
          <w:rFonts w:ascii="Times New Roman" w:eastAsia="Times New Roman" w:hAnsi="Times New Roman" w:cs="Times New Roman"/>
          <w:b/>
          <w:lang w:val="lt-LT"/>
        </w:rPr>
        <w:t>4.</w:t>
      </w:r>
      <w:r w:rsidRPr="00E82419">
        <w:rPr>
          <w:rFonts w:ascii="Times New Roman" w:eastAsia="Times New Roman" w:hAnsi="Times New Roman" w:cs="Times New Roman"/>
          <w:b/>
          <w:lang w:val="lt-LT"/>
        </w:rPr>
        <w:tab/>
        <w:t>Galimas šalutinis poveikis</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Šis vaistas, kaip ir visi kiti, gali sukelti šalutinį poveikį, nors jis pasireiškia ne visiems žmonėms.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Šis antibiotikas, kaip ir kiti cefalosporinai, paprastai toleruojamas gerai. Šalutinis poveikis pasireiškia maždaug 6</w:t>
      </w:r>
      <w:r>
        <w:rPr>
          <w:rFonts w:ascii="Times New Roman" w:eastAsia="Times New Roman" w:hAnsi="Times New Roman" w:cs="Times New Roman"/>
          <w:lang w:val="lt-LT"/>
        </w:rPr>
        <w:t> </w:t>
      </w:r>
      <w:r w:rsidRPr="00E82419">
        <w:rPr>
          <w:rFonts w:ascii="Times New Roman" w:eastAsia="Times New Roman" w:hAnsi="Times New Roman" w:cs="Times New Roman"/>
          <w:lang w:val="lt-LT"/>
        </w:rPr>
        <w:t>% ligonių.</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b/>
          <w:lang w:val="lt-LT"/>
        </w:rPr>
        <w:t>Dažnas šalutinis poveikis</w:t>
      </w:r>
      <w:r w:rsidRPr="00E82419">
        <w:rPr>
          <w:rFonts w:ascii="Times New Roman" w:eastAsia="Times New Roman" w:hAnsi="Times New Roman" w:cs="Times New Roman"/>
          <w:lang w:val="lt-LT"/>
        </w:rPr>
        <w:t xml:space="preserve"> (pasireiškia ne daugiau kaip 1 pacientui iš 10)</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Viduriavimas, sutrikęs virškinimas, pykinimas, vėmimas ir karščiavimas, pilvo skausmas, liežuvio uždegimas, dilgėlinė, išbėrimas, niežulys.</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tabs>
          <w:tab w:val="left" w:pos="567"/>
        </w:tabs>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 xml:space="preserve">Nedažnas šalutinis poveikis </w:t>
      </w:r>
      <w:r w:rsidRPr="00E82419">
        <w:rPr>
          <w:rFonts w:ascii="Times New Roman" w:eastAsia="Times New Roman" w:hAnsi="Times New Roman" w:cs="Times New Roman"/>
          <w:lang w:val="lt-LT"/>
        </w:rPr>
        <w:t>(pasireiškia ne daugiau kaip 1 pacientui iš 100)</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Makšties grybelinė infekcija, burnos pienligė.</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b/>
          <w:lang w:val="lt-LT"/>
        </w:rPr>
        <w:t>Retas šalutinis poveikis</w:t>
      </w:r>
      <w:r w:rsidRPr="00E82419">
        <w:rPr>
          <w:rFonts w:ascii="Times New Roman" w:eastAsia="Times New Roman" w:hAnsi="Times New Roman" w:cs="Times New Roman"/>
          <w:lang w:val="lt-LT"/>
        </w:rPr>
        <w:t xml:space="preserve"> (pasireiškia ne daugiau kaip 1 pacientui iš 1000)</w:t>
      </w:r>
    </w:p>
    <w:p w:rsidR="00500297" w:rsidRPr="00E82419" w:rsidRDefault="00500297" w:rsidP="00500297">
      <w:pPr>
        <w:tabs>
          <w:tab w:val="left" w:pos="567"/>
        </w:tabs>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Kraujo ląstelių kiekio pokyčiai</w:t>
      </w:r>
      <w:r>
        <w:rPr>
          <w:rFonts w:ascii="Times New Roman" w:eastAsia="Times New Roman" w:hAnsi="Times New Roman" w:cs="Times New Roman"/>
          <w:lang w:val="lt-LT"/>
        </w:rPr>
        <w:t xml:space="preserve"> </w:t>
      </w:r>
      <w:r w:rsidRPr="00E82419">
        <w:rPr>
          <w:rFonts w:ascii="Times New Roman" w:eastAsia="Times New Roman" w:hAnsi="Times New Roman" w:cs="Times New Roman"/>
          <w:lang w:val="lt-LT"/>
        </w:rPr>
        <w:t>(eozinofilija, leukopenija, agranulocitozė, neutropenija, trombocitopenija), alergija (angioneurozinis patinimas, seruminė liga), kepenų sutrikimai (kepenų nepakankamumas, tulžies sąstovis, padidėjęs kepenų fermentų (transaminazių) aktyvumas), sąnarių skausmas, vaistų sukeltas karščiavimas, inkstų uždegimas.</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 xml:space="preserve">Labai retas šalutinis poveikis </w:t>
      </w:r>
      <w:r w:rsidRPr="00157E61">
        <w:rPr>
          <w:rFonts w:ascii="Times New Roman" w:eastAsia="Times New Roman" w:hAnsi="Times New Roman" w:cs="Times New Roman"/>
          <w:lang w:val="lt-LT"/>
        </w:rPr>
        <w:t>(</w:t>
      </w:r>
      <w:r w:rsidRPr="00E82419">
        <w:rPr>
          <w:rFonts w:ascii="Times New Roman" w:eastAsia="Times New Roman" w:hAnsi="Times New Roman" w:cs="Times New Roman"/>
          <w:lang w:val="lt-LT"/>
        </w:rPr>
        <w:t>pasireiškia ne daugiau kaip 1 pacientui iš 10 000)</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Kraujo sutrikimas (hemolizinė anemija), ūmi alerginė reakcija (anafilaksinis šokas)</w:t>
      </w:r>
      <w:r>
        <w:rPr>
          <w:rFonts w:ascii="Times New Roman" w:eastAsia="Times New Roman" w:hAnsi="Times New Roman" w:cs="Times New Roman"/>
          <w:lang w:val="lt-LT"/>
        </w:rPr>
        <w:t>,</w:t>
      </w:r>
      <w:r w:rsidRPr="00E82419">
        <w:rPr>
          <w:rFonts w:ascii="Times New Roman" w:eastAsia="Times New Roman" w:hAnsi="Times New Roman" w:cs="Times New Roman"/>
          <w:lang w:val="lt-LT"/>
        </w:rPr>
        <w:t xml:space="preserve"> galvos skausmas, nemiga, svaigulys, nervingumas, tam tikros rūšies viduriavimas (pseudomembraninis kolitas), odos sutrikimai (St</w:t>
      </w:r>
      <w:r>
        <w:rPr>
          <w:rFonts w:ascii="Times New Roman" w:eastAsia="Times New Roman" w:hAnsi="Times New Roman" w:cs="Times New Roman"/>
          <w:lang w:val="lt-LT"/>
        </w:rPr>
        <w:t>i</w:t>
      </w:r>
      <w:r w:rsidRPr="00E82419">
        <w:rPr>
          <w:rFonts w:ascii="Times New Roman" w:eastAsia="Times New Roman" w:hAnsi="Times New Roman" w:cs="Times New Roman"/>
          <w:lang w:val="lt-LT"/>
        </w:rPr>
        <w:t>vens</w:t>
      </w:r>
      <w:r>
        <w:rPr>
          <w:rFonts w:ascii="Times New Roman" w:eastAsia="Times New Roman" w:hAnsi="Times New Roman" w:cs="Times New Roman"/>
          <w:lang w:val="lt-LT"/>
        </w:rPr>
        <w:t>o</w:t>
      </w:r>
      <w:r w:rsidRPr="00E82419">
        <w:rPr>
          <w:rFonts w:ascii="Times New Roman" w:eastAsia="Times New Roman" w:hAnsi="Times New Roman" w:cs="Times New Roman"/>
          <w:lang w:val="lt-LT"/>
        </w:rPr>
        <w:t>-</w:t>
      </w:r>
      <w:r>
        <w:rPr>
          <w:rFonts w:ascii="Times New Roman" w:eastAsia="Times New Roman" w:hAnsi="Times New Roman" w:cs="Times New Roman"/>
          <w:lang w:val="lt-LT"/>
        </w:rPr>
        <w:t>Dž</w:t>
      </w:r>
      <w:r w:rsidRPr="00E82419">
        <w:rPr>
          <w:rFonts w:ascii="Times New Roman" w:eastAsia="Times New Roman" w:hAnsi="Times New Roman" w:cs="Times New Roman"/>
          <w:lang w:val="lt-LT"/>
        </w:rPr>
        <w:t>onson</w:t>
      </w:r>
      <w:r>
        <w:rPr>
          <w:rFonts w:ascii="Times New Roman" w:eastAsia="Times New Roman" w:hAnsi="Times New Roman" w:cs="Times New Roman"/>
          <w:lang w:val="lt-LT"/>
        </w:rPr>
        <w:t>o</w:t>
      </w:r>
      <w:r w:rsidRPr="00E82419">
        <w:rPr>
          <w:rFonts w:ascii="Times New Roman" w:eastAsia="Times New Roman" w:hAnsi="Times New Roman" w:cs="Times New Roman"/>
          <w:lang w:val="lt-LT"/>
        </w:rPr>
        <w:t xml:space="preserve"> sindromas, daugiaformė eritema), nuovargis, pakitę kai kurių tyrimų duomenys (Kumbso reakcijų tyrimo rodmenys).</w:t>
      </w:r>
    </w:p>
    <w:p w:rsidR="00500297" w:rsidRPr="00E82419" w:rsidRDefault="00500297" w:rsidP="00500297">
      <w:pPr>
        <w:spacing w:after="0" w:line="240" w:lineRule="auto"/>
        <w:ind w:left="567" w:hanging="567"/>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Pranešimas apie šalutinį poveikį</w:t>
      </w:r>
    </w:p>
    <w:p w:rsidR="00500297" w:rsidRPr="00E82419" w:rsidRDefault="00500297" w:rsidP="00500297">
      <w:pPr>
        <w:spacing w:after="0" w:line="240" w:lineRule="auto"/>
        <w:ind w:right="-2"/>
        <w:rPr>
          <w:rFonts w:ascii="Times New Roman" w:eastAsia="Times New Roman" w:hAnsi="Times New Roman" w:cs="Times New Roman"/>
          <w:lang w:val="lt-LT"/>
        </w:rPr>
      </w:pPr>
      <w:r w:rsidRPr="00E82419">
        <w:rPr>
          <w:rFonts w:ascii="Times New Roman" w:eastAsia="Times New Roman" w:hAnsi="Times New Roman" w:cs="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157E61">
        <w:rPr>
          <w:lang w:val="lt-LT"/>
        </w:rPr>
        <w:t xml:space="preserve"> </w:t>
      </w:r>
      <w:r w:rsidRPr="00E82419">
        <w:rPr>
          <w:rFonts w:ascii="Times New Roman" w:eastAsia="Times New Roman" w:hAnsi="Times New Roman" w:cs="Times New Roman"/>
          <w:lang w:val="lt-LT"/>
        </w:rPr>
        <w:t xml:space="preserve">nemokamu telefonu 8 800 73568 arba užpildyti interneto svetainėje </w:t>
      </w:r>
      <w:hyperlink r:id="rId7" w:history="1">
        <w:r w:rsidRPr="000D3862">
          <w:rPr>
            <w:rStyle w:val="Hyperlink"/>
            <w:rFonts w:eastAsia="Times New Roman"/>
            <w:lang w:val="lt-LT"/>
          </w:rPr>
          <w:t>www.vvkt.lt</w:t>
        </w:r>
      </w:hyperlink>
      <w:r>
        <w:rPr>
          <w:rFonts w:ascii="Times New Roman" w:eastAsia="Times New Roman" w:hAnsi="Times New Roman" w:cs="Times New Roman"/>
          <w:lang w:val="lt-LT"/>
        </w:rPr>
        <w:t xml:space="preserve"> </w:t>
      </w:r>
      <w:r w:rsidRPr="00E82419">
        <w:rPr>
          <w:rFonts w:ascii="Times New Roman" w:eastAsia="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8" w:history="1">
        <w:r w:rsidRPr="000D3862">
          <w:rPr>
            <w:rStyle w:val="Hyperlink"/>
            <w:rFonts w:eastAsia="Times New Roman"/>
            <w:lang w:val="lt-LT"/>
          </w:rPr>
          <w:t>NepageidaujamaR@vvkt.lt</w:t>
        </w:r>
      </w:hyperlink>
      <w:r>
        <w:rPr>
          <w:rFonts w:ascii="Times New Roman" w:eastAsia="Times New Roman" w:hAnsi="Times New Roman" w:cs="Times New Roman"/>
          <w:lang w:val="lt-LT"/>
        </w:rPr>
        <w:t xml:space="preserve"> </w:t>
      </w:r>
      <w:r w:rsidRPr="00E82419">
        <w:rPr>
          <w:rFonts w:ascii="Times New Roman" w:eastAsia="Times New Roman" w:hAnsi="Times New Roman" w:cs="Times New Roman"/>
          <w:lang w:val="lt-LT"/>
        </w:rPr>
        <w:t xml:space="preserve">, taip pat per Valstybinės vaistų kontrolės tarnybos prie Lietuvos Respublikos sveikatos apsaugos ministerijos interneto svetainę (adresu </w:t>
      </w:r>
      <w:hyperlink r:id="rId9" w:history="1">
        <w:r w:rsidRPr="000D3862">
          <w:rPr>
            <w:rStyle w:val="Hyperlink"/>
            <w:rFonts w:eastAsia="Times New Roman"/>
            <w:lang w:val="lt-LT"/>
          </w:rPr>
          <w:t>http://www.vvkt.lt</w:t>
        </w:r>
      </w:hyperlink>
      <w:r w:rsidRPr="00E82419">
        <w:rPr>
          <w:rFonts w:ascii="Times New Roman" w:eastAsia="Times New Roman" w:hAnsi="Times New Roman" w:cs="Times New Roman"/>
          <w:lang w:val="lt-LT"/>
        </w:rPr>
        <w:t>). Pranešdami apie šalutinį poveikį galite mums padėti gauti daugiau informacijos apie šio vaisto saugumą.</w:t>
      </w:r>
    </w:p>
    <w:p w:rsidR="00500297" w:rsidRPr="00E82419" w:rsidRDefault="00500297" w:rsidP="00500297">
      <w:pPr>
        <w:spacing w:after="0" w:line="240" w:lineRule="auto"/>
        <w:ind w:right="-2"/>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bCs/>
          <w:lang w:val="lt-LT"/>
        </w:rPr>
      </w:pPr>
    </w:p>
    <w:p w:rsidR="00500297" w:rsidRPr="00E82419" w:rsidRDefault="00500297" w:rsidP="00500297">
      <w:pPr>
        <w:spacing w:after="0" w:line="240" w:lineRule="auto"/>
        <w:ind w:left="567" w:hanging="567"/>
        <w:rPr>
          <w:rFonts w:ascii="Times New Roman" w:eastAsia="Times New Roman" w:hAnsi="Times New Roman" w:cs="Times New Roman"/>
          <w:b/>
          <w:bCs/>
          <w:lang w:val="lt-LT"/>
        </w:rPr>
      </w:pPr>
      <w:r w:rsidRPr="00E82419">
        <w:rPr>
          <w:rFonts w:ascii="Times New Roman" w:eastAsia="Times New Roman" w:hAnsi="Times New Roman" w:cs="Times New Roman"/>
          <w:b/>
          <w:bCs/>
          <w:lang w:val="lt-LT"/>
        </w:rPr>
        <w:t>5.</w:t>
      </w:r>
      <w:r w:rsidRPr="00E82419">
        <w:rPr>
          <w:rFonts w:ascii="Times New Roman" w:eastAsia="Times New Roman" w:hAnsi="Times New Roman" w:cs="Times New Roman"/>
          <w:b/>
          <w:bCs/>
          <w:lang w:val="lt-LT"/>
        </w:rPr>
        <w:tab/>
        <w:t>Kaip laikyti Biodroxil</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Šį vaistą laikykite vaikams nepastebimoje ir nepasiekiamoje vietoje.</w:t>
      </w:r>
    </w:p>
    <w:p w:rsidR="00500297" w:rsidRDefault="00500297" w:rsidP="00500297">
      <w:pPr>
        <w:spacing w:after="0" w:line="240" w:lineRule="auto"/>
        <w:rPr>
          <w:rFonts w:ascii="Times New Roman" w:eastAsia="Times New Roman" w:hAnsi="Times New Roman" w:cs="Times New Roman"/>
          <w:lang w:val="lt-LT"/>
        </w:rPr>
      </w:pPr>
      <w:r w:rsidRPr="00EA62A5">
        <w:rPr>
          <w:rFonts w:ascii="Times New Roman" w:eastAsia="Times New Roman" w:hAnsi="Times New Roman" w:cs="Times New Roman"/>
          <w:lang w:val="lt-LT"/>
        </w:rPr>
        <w:t>Laikyti ne aukštesnėje kaip 30°C temperatūroje.</w:t>
      </w:r>
    </w:p>
    <w:p w:rsidR="00500297" w:rsidRDefault="00500297" w:rsidP="00500297">
      <w:pPr>
        <w:spacing w:after="0" w:line="240" w:lineRule="auto"/>
        <w:rPr>
          <w:rFonts w:ascii="Times New Roman" w:eastAsia="Times New Roman" w:hAnsi="Times New Roman" w:cs="Times New Roman"/>
          <w:lang w:val="lt-LT"/>
        </w:rPr>
      </w:pPr>
      <w:r w:rsidRPr="00EA62A5">
        <w:rPr>
          <w:rFonts w:ascii="Times New Roman" w:eastAsia="Times New Roman" w:hAnsi="Times New Roman" w:cs="Times New Roman"/>
          <w:lang w:val="lt-LT"/>
        </w:rPr>
        <w:t xml:space="preserve">Buteliuką laikyti sandarų, kad </w:t>
      </w:r>
      <w:r>
        <w:rPr>
          <w:rFonts w:ascii="Times New Roman" w:eastAsia="Times New Roman" w:hAnsi="Times New Roman" w:cs="Times New Roman"/>
          <w:lang w:val="lt-LT"/>
        </w:rPr>
        <w:t>vaistas</w:t>
      </w:r>
      <w:r w:rsidRPr="00EA62A5">
        <w:rPr>
          <w:rFonts w:ascii="Times New Roman" w:eastAsia="Times New Roman" w:hAnsi="Times New Roman" w:cs="Times New Roman"/>
          <w:lang w:val="lt-LT"/>
        </w:rPr>
        <w:t xml:space="preserve"> būtų apsaugotas nuo šviesos ir drėgmės</w:t>
      </w:r>
      <w:r>
        <w:rPr>
          <w:rFonts w:ascii="Times New Roman" w:eastAsia="Times New Roman" w:hAnsi="Times New Roman" w:cs="Times New Roman"/>
          <w:lang w:val="lt-LT"/>
        </w:rPr>
        <w:t>.</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Paruoštos suspensijos tinkamumo laikas yra 14 parų.</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 xml:space="preserve">Paruoštą suspensiją reikia laikyti </w:t>
      </w:r>
      <w:r>
        <w:rPr>
          <w:rFonts w:ascii="Times New Roman" w:eastAsia="Times New Roman" w:hAnsi="Times New Roman" w:cs="Times New Roman"/>
          <w:lang w:val="lt-LT"/>
        </w:rPr>
        <w:t>šaldytuve (2 - 8</w:t>
      </w:r>
      <w:r w:rsidRPr="00E82419">
        <w:rPr>
          <w:rFonts w:ascii="Times New Roman" w:eastAsia="Times New Roman" w:hAnsi="Times New Roman" w:cs="Times New Roman"/>
          <w:lang w:val="lt-LT"/>
        </w:rPr>
        <w:t> °C</w:t>
      </w:r>
      <w:r>
        <w:rPr>
          <w:rFonts w:ascii="Times New Roman" w:eastAsia="Times New Roman" w:hAnsi="Times New Roman" w:cs="Times New Roman"/>
          <w:lang w:val="lt-LT"/>
        </w:rPr>
        <w:t>)</w:t>
      </w:r>
      <w:r w:rsidRPr="00E82419">
        <w:rPr>
          <w:rFonts w:ascii="Times New Roman" w:eastAsia="Times New Roman" w:hAnsi="Times New Roman" w:cs="Times New Roman"/>
          <w:lang w:val="lt-LT"/>
        </w:rPr>
        <w:t>.</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Ant dėžutės ir buteliuko etiketės po „</w:t>
      </w:r>
      <w:r>
        <w:rPr>
          <w:rFonts w:ascii="Times New Roman" w:eastAsia="Times New Roman" w:hAnsi="Times New Roman" w:cs="Times New Roman"/>
          <w:lang w:val="lt-LT"/>
        </w:rPr>
        <w:t>EXP</w:t>
      </w:r>
      <w:r w:rsidRPr="00E82419">
        <w:rPr>
          <w:rFonts w:ascii="Times New Roman" w:eastAsia="Times New Roman" w:hAnsi="Times New Roman" w:cs="Times New Roman"/>
          <w:lang w:val="lt-LT"/>
        </w:rPr>
        <w:t>“ nurodytam tinkamumo laikui pasibaigus, šio vaisto vartoti negalima. Vaistas tinkamas vartoti iki paskutinės nurodyto mėnesio dienos</w:t>
      </w:r>
      <w:r>
        <w:rPr>
          <w:rFonts w:ascii="Times New Roman" w:eastAsia="Times New Roman" w:hAnsi="Times New Roman" w:cs="Times New Roman"/>
          <w:lang w:val="lt-LT"/>
        </w:rPr>
        <w:t>.</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ind w:left="567" w:hanging="567"/>
        <w:rPr>
          <w:rFonts w:ascii="Times New Roman" w:eastAsia="Times New Roman" w:hAnsi="Times New Roman" w:cs="Times New Roman"/>
          <w:b/>
          <w:lang w:val="lt-LT"/>
        </w:rPr>
      </w:pPr>
      <w:bookmarkStart w:id="0" w:name="_Toc129243269"/>
      <w:bookmarkStart w:id="1" w:name="_Toc129243144"/>
      <w:r w:rsidRPr="00E82419">
        <w:rPr>
          <w:rFonts w:ascii="Times New Roman" w:eastAsia="Times New Roman" w:hAnsi="Times New Roman" w:cs="Times New Roman"/>
          <w:b/>
          <w:lang w:val="lt-LT"/>
        </w:rPr>
        <w:lastRenderedPageBreak/>
        <w:t>6.</w:t>
      </w:r>
      <w:r w:rsidRPr="00E82419">
        <w:rPr>
          <w:rFonts w:ascii="Times New Roman" w:eastAsia="Times New Roman" w:hAnsi="Times New Roman" w:cs="Times New Roman"/>
          <w:b/>
          <w:lang w:val="lt-LT"/>
        </w:rPr>
        <w:tab/>
        <w:t>Pakuotės turinys ir kita informacija</w:t>
      </w:r>
      <w:bookmarkEnd w:id="0"/>
      <w:bookmarkEnd w:id="1"/>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Biodroxil sudėtis</w:t>
      </w:r>
    </w:p>
    <w:p w:rsidR="00500297" w:rsidRPr="00E82419" w:rsidRDefault="00500297" w:rsidP="00500297">
      <w:pPr>
        <w:numPr>
          <w:ilvl w:val="0"/>
          <w:numId w:val="4"/>
        </w:numPr>
        <w:spacing w:after="0" w:line="240" w:lineRule="auto"/>
        <w:ind w:hanging="283"/>
        <w:rPr>
          <w:rFonts w:ascii="Times New Roman" w:eastAsia="Times New Roman" w:hAnsi="Times New Roman" w:cs="Times New Roman"/>
          <w:lang w:val="lt-LT"/>
        </w:rPr>
      </w:pPr>
      <w:r w:rsidRPr="00E82419">
        <w:rPr>
          <w:rFonts w:ascii="Times New Roman" w:eastAsia="Times New Roman" w:hAnsi="Times New Roman" w:cs="Times New Roman"/>
          <w:lang w:val="lt-LT"/>
        </w:rPr>
        <w:t>Veiklioji medžiaga yra cefadroksilis. 5  ml paruoštos suspensijos (1 matavimo šaukšte) yra 250 mg cefadroksilio (monohidrato pavidalu).</w:t>
      </w:r>
    </w:p>
    <w:p w:rsidR="00500297" w:rsidRPr="00E82419" w:rsidRDefault="00500297" w:rsidP="00500297">
      <w:pPr>
        <w:numPr>
          <w:ilvl w:val="0"/>
          <w:numId w:val="4"/>
        </w:numPr>
        <w:spacing w:after="0" w:line="240" w:lineRule="auto"/>
        <w:ind w:hanging="283"/>
        <w:rPr>
          <w:rFonts w:ascii="Times New Roman" w:eastAsia="Times New Roman" w:hAnsi="Times New Roman" w:cs="Times New Roman"/>
          <w:lang w:val="lt-LT"/>
        </w:rPr>
      </w:pPr>
      <w:r w:rsidRPr="00E82419">
        <w:rPr>
          <w:rFonts w:ascii="Times New Roman" w:eastAsia="Times New Roman" w:hAnsi="Times New Roman" w:cs="Times New Roman"/>
          <w:lang w:val="lt-LT"/>
        </w:rPr>
        <w:t>Pagalbinės medžiagos yra guarogalaktomananas, magnio stearatas, koloidinis bevandenis silicio dioksidas, titano dioksidas (E171), talkas, sacharinas, cukrus, persikų ir abrikosų skonio kvapioji medžiaga.</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Biodroxil išvaizda ir kiekis pakuotėje</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Balti ar šviesiai gelsvi milteliai. Paruošta suspensija yra baltos ar šviesiai gelsvos spalvos.</w:t>
      </w: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lang w:val="lt-LT"/>
        </w:rPr>
        <w:t xml:space="preserve">Kartono dėžutėje yra vienas gintaro spalvos stiklinis buteliukas 60 ml </w:t>
      </w:r>
      <w:r>
        <w:rPr>
          <w:rFonts w:ascii="Times New Roman" w:eastAsia="Times New Roman" w:hAnsi="Times New Roman" w:cs="Times New Roman"/>
          <w:lang w:val="lt-LT"/>
        </w:rPr>
        <w:t xml:space="preserve">geriamosios suspensijos paruošimui, užsuktas vaikų sunkiai atidaromu uždoriu, </w:t>
      </w:r>
      <w:r w:rsidRPr="00E82419">
        <w:rPr>
          <w:rFonts w:ascii="Times New Roman" w:eastAsia="Times New Roman" w:hAnsi="Times New Roman" w:cs="Times New Roman"/>
          <w:lang w:val="lt-LT"/>
        </w:rPr>
        <w:t>ir PP matavimo šaukštas (paženklintas 1,25 ml, 2,5 ml ir 5 ml žymomis).</w:t>
      </w:r>
    </w:p>
    <w:p w:rsidR="00500297" w:rsidRPr="00E82419" w:rsidRDefault="00500297" w:rsidP="00500297">
      <w:pPr>
        <w:spacing w:after="0" w:line="240" w:lineRule="auto"/>
        <w:rPr>
          <w:rFonts w:ascii="Times New Roman" w:eastAsia="Times New Roman" w:hAnsi="Times New Roman" w:cs="Times New Roman"/>
          <w:b/>
          <w:lang w:val="lt-LT"/>
        </w:rPr>
      </w:pPr>
    </w:p>
    <w:p w:rsidR="00500297" w:rsidRPr="00E82419" w:rsidRDefault="00500297" w:rsidP="00500297">
      <w:pPr>
        <w:spacing w:after="0" w:line="240" w:lineRule="auto"/>
        <w:rPr>
          <w:rFonts w:ascii="Times New Roman" w:eastAsia="Times New Roman" w:hAnsi="Times New Roman" w:cs="Times New Roman"/>
          <w:b/>
          <w:lang w:val="lt-LT"/>
        </w:rPr>
      </w:pPr>
      <w:r w:rsidRPr="00E82419">
        <w:rPr>
          <w:rFonts w:ascii="Times New Roman" w:eastAsia="Times New Roman" w:hAnsi="Times New Roman" w:cs="Times New Roman"/>
          <w:b/>
          <w:lang w:val="lt-LT"/>
        </w:rPr>
        <w:t>Registruotojas ir gamintojas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Sandoz GmbH</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Biochemiestrasse 10</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A-6250</w:t>
      </w:r>
      <w:r>
        <w:rPr>
          <w:rFonts w:ascii="Times New Roman" w:eastAsia="Times New Roman" w:hAnsi="Times New Roman" w:cs="Times New Roman"/>
          <w:lang w:val="lt-LT"/>
        </w:rPr>
        <w:t xml:space="preserve"> </w:t>
      </w:r>
      <w:r w:rsidRPr="00E82419">
        <w:rPr>
          <w:rFonts w:ascii="Times New Roman" w:eastAsia="Times New Roman" w:hAnsi="Times New Roman" w:cs="Times New Roman"/>
          <w:lang w:val="lt-LT"/>
        </w:rPr>
        <w:t>Kundl</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Austrija</w:t>
      </w:r>
    </w:p>
    <w:p w:rsidR="00500297" w:rsidRPr="00E82419" w:rsidRDefault="00500297" w:rsidP="00500297">
      <w:pPr>
        <w:spacing w:after="0" w:line="240" w:lineRule="auto"/>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hAnsi="Times New Roman" w:cs="Times New Roman"/>
          <w:lang w:val="lt-LT"/>
        </w:rPr>
      </w:pPr>
      <w:r w:rsidRPr="00E82419">
        <w:rPr>
          <w:rFonts w:ascii="Times New Roman" w:hAnsi="Times New Roman" w:cs="Times New Roman"/>
          <w:lang w:val="lt-LT"/>
        </w:rPr>
        <w:t xml:space="preserve">Jeigu apie šį vaistą norite sužinoti daugiau, kreipkitės į vietinį </w:t>
      </w:r>
      <w:r>
        <w:rPr>
          <w:rFonts w:ascii="Times New Roman" w:hAnsi="Times New Roman" w:cs="Times New Roman"/>
          <w:lang w:val="lt-LT"/>
        </w:rPr>
        <w:t>registruotojo</w:t>
      </w:r>
      <w:r w:rsidRPr="00E82419">
        <w:rPr>
          <w:rFonts w:ascii="Times New Roman" w:hAnsi="Times New Roman" w:cs="Times New Roman"/>
          <w:lang w:val="lt-LT"/>
        </w:rPr>
        <w:t xml:space="preserve"> atstovą.</w:t>
      </w:r>
    </w:p>
    <w:p w:rsidR="00500297" w:rsidRPr="00E82419" w:rsidRDefault="00500297" w:rsidP="00500297">
      <w:pPr>
        <w:spacing w:after="0" w:line="240" w:lineRule="auto"/>
        <w:rPr>
          <w:rFonts w:ascii="Times New Roman" w:hAnsi="Times New Roman" w:cs="Times New Roman"/>
          <w:lang w:val="lt-LT"/>
        </w:rPr>
      </w:pP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Sandoz Pharmaceuticals d.d. filialas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Šeimyniškių 3A</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LT-09312 Vilnius</w:t>
      </w:r>
    </w:p>
    <w:p w:rsidR="00500297" w:rsidRPr="00E82419" w:rsidRDefault="00500297" w:rsidP="00500297">
      <w:pPr>
        <w:spacing w:after="0" w:line="240" w:lineRule="auto"/>
        <w:rPr>
          <w:rFonts w:ascii="Times New Roman" w:eastAsia="Times New Roman" w:hAnsi="Times New Roman" w:cs="Times New Roman"/>
          <w:lang w:val="lt-LT"/>
        </w:rPr>
      </w:pPr>
      <w:r w:rsidRPr="00E82419">
        <w:rPr>
          <w:rFonts w:ascii="Times New Roman" w:eastAsia="Times New Roman" w:hAnsi="Times New Roman" w:cs="Times New Roman"/>
          <w:lang w:val="lt-LT"/>
        </w:rPr>
        <w:t>Tel. +370 5 2636 037</w:t>
      </w:r>
    </w:p>
    <w:p w:rsidR="00500297" w:rsidRPr="00E82419" w:rsidRDefault="00500297" w:rsidP="00500297">
      <w:pPr>
        <w:spacing w:after="0" w:line="240" w:lineRule="auto"/>
        <w:jc w:val="both"/>
        <w:rPr>
          <w:rFonts w:ascii="Times New Roman" w:eastAsia="Times New Roman" w:hAnsi="Times New Roman" w:cs="Times New Roman"/>
          <w:lang w:val="lt-LT"/>
        </w:rPr>
      </w:pPr>
      <w:r w:rsidRPr="00E82419">
        <w:rPr>
          <w:rFonts w:ascii="Times New Roman" w:eastAsia="Times New Roman" w:hAnsi="Times New Roman" w:cs="Times New Roman"/>
          <w:lang w:val="lt-LT"/>
        </w:rPr>
        <w:t>Faksas. +370 5 2636 036</w:t>
      </w:r>
    </w:p>
    <w:p w:rsidR="00500297" w:rsidRDefault="00500297" w:rsidP="00500297">
      <w:pPr>
        <w:numPr>
          <w:ilvl w:val="12"/>
          <w:numId w:val="0"/>
        </w:numPr>
        <w:tabs>
          <w:tab w:val="left" w:pos="567"/>
        </w:tabs>
        <w:spacing w:after="0" w:line="240" w:lineRule="auto"/>
        <w:ind w:left="567" w:hanging="567"/>
        <w:jc w:val="both"/>
        <w:rPr>
          <w:rFonts w:ascii="Times New Roman" w:eastAsia="Times New Roman" w:hAnsi="Times New Roman" w:cs="Times New Roman"/>
          <w:szCs w:val="20"/>
          <w:lang w:val="lt-LT"/>
        </w:rPr>
      </w:pPr>
      <w:r w:rsidRPr="00AF4217">
        <w:rPr>
          <w:rFonts w:ascii="Times New Roman" w:eastAsia="Times New Roman" w:hAnsi="Times New Roman" w:cs="Times New Roman"/>
          <w:lang w:val="lt-LT"/>
        </w:rPr>
        <w:t>Nemokama linija pacientams +370 800 00877</w:t>
      </w:r>
    </w:p>
    <w:p w:rsidR="00500297" w:rsidRPr="00AF4217" w:rsidRDefault="00500297" w:rsidP="00500297">
      <w:pPr>
        <w:numPr>
          <w:ilvl w:val="12"/>
          <w:numId w:val="0"/>
        </w:numPr>
        <w:tabs>
          <w:tab w:val="left" w:pos="567"/>
        </w:tabs>
        <w:spacing w:after="0" w:line="240" w:lineRule="auto"/>
        <w:ind w:left="567" w:hanging="567"/>
        <w:jc w:val="both"/>
        <w:rPr>
          <w:rFonts w:ascii="Times New Roman" w:eastAsia="Times New Roman" w:hAnsi="Times New Roman" w:cs="Times New Roman"/>
          <w:lang w:val="lt-LT"/>
        </w:rPr>
      </w:pPr>
      <w:r w:rsidRPr="00AF4217">
        <w:rPr>
          <w:rFonts w:ascii="Times New Roman" w:eastAsia="Times New Roman" w:hAnsi="Times New Roman" w:cs="Times New Roman"/>
          <w:lang w:val="lt-LT"/>
        </w:rPr>
        <w:t>El.</w:t>
      </w:r>
      <w:r>
        <w:rPr>
          <w:rFonts w:ascii="Times New Roman" w:eastAsia="Times New Roman" w:hAnsi="Times New Roman" w:cs="Times New Roman"/>
          <w:lang w:val="lt-LT"/>
        </w:rPr>
        <w:t xml:space="preserve"> </w:t>
      </w:r>
      <w:r w:rsidRPr="00AF4217">
        <w:rPr>
          <w:rFonts w:ascii="Times New Roman" w:eastAsia="Times New Roman" w:hAnsi="Times New Roman" w:cs="Times New Roman"/>
          <w:lang w:val="lt-LT"/>
        </w:rPr>
        <w:t>pašto adresas: info.lithuania@sandoz.com</w:t>
      </w:r>
    </w:p>
    <w:p w:rsidR="00500297" w:rsidRPr="00E82419" w:rsidRDefault="00500297" w:rsidP="00500297">
      <w:pPr>
        <w:numPr>
          <w:ilvl w:val="12"/>
          <w:numId w:val="0"/>
        </w:numPr>
        <w:spacing w:after="0" w:line="240" w:lineRule="auto"/>
        <w:ind w:left="567" w:hanging="567"/>
        <w:jc w:val="both"/>
        <w:rPr>
          <w:rFonts w:ascii="Times New Roman" w:eastAsia="Times New Roman" w:hAnsi="Times New Roman" w:cs="Times New Roman"/>
          <w:lang w:val="lt-LT"/>
        </w:rPr>
      </w:pPr>
    </w:p>
    <w:p w:rsidR="00500297" w:rsidRPr="00E82419" w:rsidRDefault="00500297" w:rsidP="00500297">
      <w:pPr>
        <w:spacing w:after="0" w:line="240" w:lineRule="auto"/>
        <w:rPr>
          <w:rFonts w:ascii="Times New Roman" w:hAnsi="Times New Roman" w:cs="Times New Roman"/>
          <w:b/>
          <w:lang w:val="lt-LT"/>
        </w:rPr>
      </w:pPr>
      <w:r w:rsidRPr="00E82419">
        <w:rPr>
          <w:rFonts w:ascii="Times New Roman" w:hAnsi="Times New Roman" w:cs="Times New Roman"/>
          <w:b/>
          <w:bCs/>
          <w:lang w:val="lt-LT"/>
        </w:rPr>
        <w:t>Šis pakuotės lapelis</w:t>
      </w:r>
      <w:r w:rsidRPr="00E82419">
        <w:rPr>
          <w:rFonts w:ascii="Times New Roman" w:hAnsi="Times New Roman" w:cs="Times New Roman"/>
          <w:b/>
          <w:lang w:val="lt-LT"/>
        </w:rPr>
        <w:t xml:space="preserve"> paskutinį kartą peržiūrėtas </w:t>
      </w:r>
      <w:r>
        <w:rPr>
          <w:rFonts w:ascii="Times New Roman" w:hAnsi="Times New Roman" w:cs="Times New Roman"/>
          <w:b/>
          <w:lang w:val="lt-LT"/>
        </w:rPr>
        <w:t>2021-03-12.</w:t>
      </w:r>
    </w:p>
    <w:p w:rsidR="00500297" w:rsidRPr="00E82419" w:rsidRDefault="00500297" w:rsidP="00500297">
      <w:pPr>
        <w:spacing w:after="0" w:line="240" w:lineRule="auto"/>
        <w:jc w:val="both"/>
        <w:rPr>
          <w:rFonts w:ascii="Times New Roman" w:eastAsia="Times New Roman" w:hAnsi="Times New Roman" w:cs="Times New Roman"/>
          <w:lang w:val="lt-LT"/>
        </w:rPr>
      </w:pPr>
    </w:p>
    <w:p w:rsidR="00500297" w:rsidRDefault="00500297" w:rsidP="00500297">
      <w:pPr>
        <w:spacing w:after="0" w:line="240" w:lineRule="auto"/>
        <w:rPr>
          <w:rFonts w:ascii="Times New Roman" w:hAnsi="Times New Roman" w:cs="Times New Roman"/>
          <w:color w:val="0000FF"/>
          <w:u w:val="single"/>
          <w:lang w:val="lt-LT"/>
        </w:rPr>
      </w:pPr>
      <w:r w:rsidRPr="00E82419">
        <w:rPr>
          <w:rFonts w:ascii="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10" w:history="1">
        <w:r w:rsidRPr="00E82419">
          <w:rPr>
            <w:rFonts w:ascii="Times New Roman" w:hAnsi="Times New Roman" w:cs="Times New Roman"/>
            <w:color w:val="0000FF"/>
            <w:u w:val="single"/>
            <w:lang w:val="lt-LT"/>
          </w:rPr>
          <w:t>http://www.vvkt.lt/</w:t>
        </w:r>
      </w:hyperlink>
      <w:r>
        <w:rPr>
          <w:rFonts w:ascii="Times New Roman" w:hAnsi="Times New Roman" w:cs="Times New Roman"/>
          <w:color w:val="0000FF"/>
          <w:u w:val="single"/>
          <w:lang w:val="lt-LT"/>
        </w:rPr>
        <w:t>.</w:t>
      </w:r>
    </w:p>
    <w:p w:rsidR="00500297" w:rsidRDefault="00500297"/>
    <w:sectPr w:rsidR="0050029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66012"/>
    <w:multiLevelType w:val="hybridMultilevel"/>
    <w:tmpl w:val="AA58663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A3685"/>
    <w:multiLevelType w:val="hybridMultilevel"/>
    <w:tmpl w:val="7A5805D8"/>
    <w:lvl w:ilvl="0" w:tplc="234EE876">
      <w:start w:val="6"/>
      <w:numFmt w:val="bullet"/>
      <w:lvlText w:val="-"/>
      <w:lvlJc w:val="left"/>
      <w:pPr>
        <w:tabs>
          <w:tab w:val="num" w:pos="567"/>
        </w:tabs>
        <w:ind w:left="567" w:hanging="567"/>
      </w:pPr>
      <w:rPr>
        <w:rFonts w:ascii="Times New Roman" w:eastAsia="Times New Roman" w:hAnsi="Times New Roman" w:cs="Times New Roman" w:hint="default"/>
        <w:color w:val="auto"/>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D77986"/>
    <w:multiLevelType w:val="hybridMultilevel"/>
    <w:tmpl w:val="D96CBDB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30331D3"/>
    <w:multiLevelType w:val="hybridMultilevel"/>
    <w:tmpl w:val="34FAC5A4"/>
    <w:lvl w:ilvl="0" w:tplc="4A341CFE">
      <w:start w:val="1"/>
      <w:numFmt w:val="bullet"/>
      <w:lvlText w:val="-"/>
      <w:lvlJc w:val="left"/>
      <w:pPr>
        <w:ind w:left="1004" w:hanging="360"/>
      </w:pPr>
      <w:rPr>
        <w:rFonts w:ascii="Tahoma" w:hAnsi="Tahoma"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4" w15:restartNumberingAfterBreak="0">
    <w:nsid w:val="632A024E"/>
    <w:multiLevelType w:val="hybridMultilevel"/>
    <w:tmpl w:val="0FF4542E"/>
    <w:lvl w:ilvl="0" w:tplc="CCF69B20">
      <w:start w:val="6"/>
      <w:numFmt w:val="bullet"/>
      <w:lvlText w:val="-"/>
      <w:lvlJc w:val="left"/>
      <w:pPr>
        <w:tabs>
          <w:tab w:val="num" w:pos="567"/>
        </w:tabs>
        <w:ind w:left="567" w:hanging="567"/>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B5925"/>
    <w:multiLevelType w:val="hybridMultilevel"/>
    <w:tmpl w:val="4C7EED38"/>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09E31F5"/>
    <w:multiLevelType w:val="hybridMultilevel"/>
    <w:tmpl w:val="580C57AE"/>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79A2B77"/>
    <w:multiLevelType w:val="hybridMultilevel"/>
    <w:tmpl w:val="8214D8C2"/>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97"/>
    <w:rsid w:val="0050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3A7FF-44FA-41CA-8B4E-91B38E62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297"/>
    <w:rPr>
      <w:rFonts w:ascii="Times New Roman" w:hAnsi="Times New Roman" w:cs="Times New Roman" w:hint="default"/>
      <w:color w:val="0000FF"/>
      <w:u w:val="single"/>
    </w:rPr>
  </w:style>
  <w:style w:type="paragraph" w:styleId="ListParagraph">
    <w:name w:val="List Paragraph"/>
    <w:basedOn w:val="Normal"/>
    <w:uiPriority w:val="34"/>
    <w:qFormat/>
    <w:rsid w:val="00500297"/>
    <w:pPr>
      <w:spacing w:after="0" w:line="240" w:lineRule="auto"/>
      <w:ind w:left="720"/>
      <w:contextualSpacing/>
    </w:pPr>
    <w:rPr>
      <w:rFonts w:ascii="Times New Roman" w:eastAsia="Times New Roman" w:hAnsi="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12924</Characters>
  <Application>Microsoft Office Word</Application>
  <DocSecurity>0</DocSecurity>
  <Lines>107</Lines>
  <Paragraphs>30</Paragraphs>
  <ScaleCrop>false</ScaleCrop>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2021-04-29T12:10:00Z</dcterms:created>
  <dcterms:modified xsi:type="dcterms:W3CDTF">2021-04-29T12:10:00Z</dcterms:modified>
</cp:coreProperties>
</file>