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2F03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10797226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5103FD71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32562118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1C0D323C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40591200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0F55091D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02557BE9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41CA1AEE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7092CC44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587B2185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52BE00D0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43DA45FD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6DEBA3C1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10DBB876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3216BEA2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5B347E15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3186616D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4101B429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5BEC2D3C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4D13E9F9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7CAA6E7C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6D889E6D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09E08CC0" w14:textId="77777777" w:rsidR="00F86CF2" w:rsidRDefault="00F86CF2" w:rsidP="00F86CF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3D1F372D" w14:textId="2D329DE8" w:rsidR="00F86CF2" w:rsidRDefault="00F86CF2" w:rsidP="00F86CF2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71949056" w14:textId="77777777" w:rsidR="00F86CF2" w:rsidRDefault="00F86CF2" w:rsidP="00F86CF2">
      <w:pPr>
        <w:sectPr w:rsidR="00F86CF2">
          <w:pgSz w:w="11900" w:h="16841"/>
          <w:pgMar w:top="1440" w:right="1440" w:bottom="203" w:left="1440" w:header="0" w:footer="0" w:gutter="0"/>
          <w:cols w:space="720" w:equalWidth="0">
            <w:col w:w="9026"/>
          </w:cols>
        </w:sectPr>
      </w:pPr>
    </w:p>
    <w:p w14:paraId="6B722F05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1682D5B8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344DB3E9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23FBB0BC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09B7F3E4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71143244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2ED93CA3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5EF7FC46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6A95F912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16811A1B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71D34D3B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5246BEF4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7F186D7B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672CF587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42D420F9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5F01BDA2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60D4CD23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5ECE9706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36849CD1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1880DD63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22B9E22D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5026AF90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772A11A2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23F36A64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4C453F97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17A565B7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3F3BD980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7613C9EE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7036A5C5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7B826F93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55FF41BA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3C8968FE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7E8DABBD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1C027F34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26D6A604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13AB9CCE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39AB4AE6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7B653F01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762F0751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0538954E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66C493F2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1E6C971D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46EDF21A" w14:textId="77777777" w:rsidR="00F86CF2" w:rsidRDefault="00F86CF2" w:rsidP="00F86CF2">
      <w:pPr>
        <w:spacing w:line="337" w:lineRule="exact"/>
        <w:rPr>
          <w:sz w:val="20"/>
          <w:szCs w:val="20"/>
        </w:rPr>
      </w:pPr>
    </w:p>
    <w:p w14:paraId="316D9C9F" w14:textId="77777777" w:rsidR="00F86CF2" w:rsidRDefault="00F86CF2" w:rsidP="00F86CF2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102</w:t>
      </w:r>
    </w:p>
    <w:p w14:paraId="551E5D0C" w14:textId="77777777" w:rsidR="00F86CF2" w:rsidRDefault="00F86CF2" w:rsidP="00F86CF2">
      <w:pPr>
        <w:sectPr w:rsidR="00F86CF2">
          <w:type w:val="continuous"/>
          <w:pgSz w:w="11900" w:h="16841"/>
          <w:pgMar w:top="1440" w:right="1440" w:bottom="203" w:left="1440" w:header="0" w:footer="0" w:gutter="0"/>
          <w:cols w:space="720" w:equalWidth="0">
            <w:col w:w="9026"/>
          </w:cols>
        </w:sectPr>
      </w:pPr>
    </w:p>
    <w:p w14:paraId="08E474AC" w14:textId="77777777" w:rsidR="00F86CF2" w:rsidRDefault="00F86CF2" w:rsidP="00F86CF2">
      <w:pPr>
        <w:ind w:left="2661"/>
        <w:rPr>
          <w:sz w:val="20"/>
          <w:szCs w:val="20"/>
        </w:rPr>
      </w:pPr>
      <w:bookmarkStart w:id="0" w:name="page103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3F5C9FC2" w14:textId="77777777" w:rsidR="00F86CF2" w:rsidRDefault="00F86CF2" w:rsidP="00F86CF2">
      <w:pPr>
        <w:spacing w:line="253" w:lineRule="exact"/>
        <w:rPr>
          <w:sz w:val="20"/>
          <w:szCs w:val="20"/>
        </w:rPr>
      </w:pPr>
    </w:p>
    <w:p w14:paraId="5F69B4EF" w14:textId="77777777" w:rsidR="00F86CF2" w:rsidRDefault="00F86CF2" w:rsidP="00F86CF2">
      <w:pPr>
        <w:ind w:left="332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CellCept</w:t>
      </w:r>
      <w:proofErr w:type="spellEnd"/>
      <w:r>
        <w:rPr>
          <w:rFonts w:eastAsia="Times New Roman"/>
          <w:b/>
          <w:bCs/>
        </w:rPr>
        <w:t xml:space="preserve"> 250 mg </w:t>
      </w:r>
      <w:proofErr w:type="spellStart"/>
      <w:r>
        <w:rPr>
          <w:rFonts w:eastAsia="Times New Roman"/>
          <w:b/>
          <w:bCs/>
        </w:rPr>
        <w:t>kapsulės</w:t>
      </w:r>
      <w:proofErr w:type="spellEnd"/>
    </w:p>
    <w:p w14:paraId="754F1E65" w14:textId="77777777" w:rsidR="00F86CF2" w:rsidRDefault="00F86CF2" w:rsidP="00F86CF2">
      <w:pPr>
        <w:ind w:right="-14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mikofenolato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mofetilis</w:t>
      </w:r>
      <w:proofErr w:type="spellEnd"/>
    </w:p>
    <w:p w14:paraId="774E0645" w14:textId="77777777" w:rsidR="00F86CF2" w:rsidRDefault="00F86CF2" w:rsidP="00F86CF2">
      <w:pPr>
        <w:spacing w:line="255" w:lineRule="exact"/>
        <w:rPr>
          <w:sz w:val="20"/>
          <w:szCs w:val="20"/>
        </w:rPr>
      </w:pPr>
    </w:p>
    <w:p w14:paraId="07536F65" w14:textId="77777777" w:rsidR="00F86CF2" w:rsidRDefault="00F86CF2" w:rsidP="00F86CF2">
      <w:pPr>
        <w:spacing w:line="246" w:lineRule="auto"/>
        <w:ind w:left="1" w:right="26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26E51F94" w14:textId="77777777" w:rsidR="00F86CF2" w:rsidRDefault="00F86CF2" w:rsidP="00F86CF2">
      <w:pPr>
        <w:spacing w:line="1" w:lineRule="exact"/>
        <w:rPr>
          <w:sz w:val="20"/>
          <w:szCs w:val="20"/>
        </w:rPr>
      </w:pPr>
    </w:p>
    <w:p w14:paraId="3EF938D9" w14:textId="77777777" w:rsidR="00F86CF2" w:rsidRDefault="00F86CF2" w:rsidP="00F86CF2">
      <w:pPr>
        <w:numPr>
          <w:ilvl w:val="0"/>
          <w:numId w:val="1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7A06ACA1" w14:textId="77777777" w:rsidR="00F86CF2" w:rsidRDefault="00F86CF2" w:rsidP="00F86CF2">
      <w:pPr>
        <w:spacing w:line="17" w:lineRule="exact"/>
        <w:rPr>
          <w:rFonts w:ascii="Arial" w:eastAsia="Arial" w:hAnsi="Arial" w:cs="Arial"/>
        </w:rPr>
      </w:pPr>
    </w:p>
    <w:p w14:paraId="6D19877C" w14:textId="77777777" w:rsidR="00F86CF2" w:rsidRDefault="00F86CF2" w:rsidP="00F86CF2">
      <w:pPr>
        <w:numPr>
          <w:ilvl w:val="0"/>
          <w:numId w:val="1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076F8893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5CD731DD" w14:textId="77777777" w:rsidR="00F86CF2" w:rsidRDefault="00F86CF2" w:rsidP="00F86CF2">
      <w:pPr>
        <w:numPr>
          <w:ilvl w:val="0"/>
          <w:numId w:val="1"/>
        </w:numPr>
        <w:tabs>
          <w:tab w:val="left" w:pos="561"/>
        </w:tabs>
        <w:spacing w:line="247" w:lineRule="auto"/>
        <w:ind w:left="561" w:right="70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46A0C98B" w14:textId="77777777" w:rsidR="00F86CF2" w:rsidRDefault="00F86CF2" w:rsidP="00F86CF2">
      <w:pPr>
        <w:spacing w:line="1" w:lineRule="exact"/>
        <w:rPr>
          <w:rFonts w:ascii="Arial" w:eastAsia="Arial" w:hAnsi="Arial" w:cs="Arial"/>
        </w:rPr>
      </w:pPr>
    </w:p>
    <w:p w14:paraId="2160C6AB" w14:textId="77777777" w:rsidR="00F86CF2" w:rsidRDefault="00F86CF2" w:rsidP="00F86CF2">
      <w:pPr>
        <w:numPr>
          <w:ilvl w:val="0"/>
          <w:numId w:val="1"/>
        </w:numPr>
        <w:tabs>
          <w:tab w:val="left" w:pos="561"/>
        </w:tabs>
        <w:spacing w:line="278" w:lineRule="auto"/>
        <w:ind w:left="561" w:right="72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18B25A8D" w14:textId="77777777" w:rsidR="00F86CF2" w:rsidRDefault="00F86CF2" w:rsidP="00F86CF2">
      <w:pPr>
        <w:spacing w:line="170" w:lineRule="exact"/>
        <w:rPr>
          <w:sz w:val="20"/>
          <w:szCs w:val="20"/>
        </w:rPr>
      </w:pPr>
    </w:p>
    <w:p w14:paraId="0D489131" w14:textId="77777777" w:rsidR="00F86CF2" w:rsidRDefault="00F86CF2" w:rsidP="00F86CF2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33F6C098" w14:textId="77777777" w:rsidR="00F86CF2" w:rsidRDefault="00F86CF2" w:rsidP="00F86CF2">
      <w:pPr>
        <w:numPr>
          <w:ilvl w:val="0"/>
          <w:numId w:val="2"/>
        </w:numPr>
        <w:tabs>
          <w:tab w:val="left" w:pos="561"/>
        </w:tabs>
        <w:ind w:left="561" w:hanging="560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1C475F1D" w14:textId="77777777" w:rsidR="00F86CF2" w:rsidRDefault="00F86CF2" w:rsidP="00F86CF2">
      <w:pPr>
        <w:spacing w:line="1" w:lineRule="exact"/>
        <w:rPr>
          <w:rFonts w:eastAsia="Times New Roman"/>
        </w:rPr>
      </w:pPr>
    </w:p>
    <w:p w14:paraId="7918917B" w14:textId="77777777" w:rsidR="00F86CF2" w:rsidRDefault="00F86CF2" w:rsidP="00F86CF2">
      <w:pPr>
        <w:numPr>
          <w:ilvl w:val="0"/>
          <w:numId w:val="2"/>
        </w:numPr>
        <w:tabs>
          <w:tab w:val="left" w:pos="561"/>
        </w:tabs>
        <w:spacing w:line="239" w:lineRule="auto"/>
        <w:ind w:left="561" w:hanging="560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</w:p>
    <w:p w14:paraId="3E92137F" w14:textId="77777777" w:rsidR="00F86CF2" w:rsidRDefault="00F86CF2" w:rsidP="00F86CF2">
      <w:pPr>
        <w:numPr>
          <w:ilvl w:val="0"/>
          <w:numId w:val="2"/>
        </w:numPr>
        <w:tabs>
          <w:tab w:val="left" w:pos="561"/>
        </w:tabs>
        <w:spacing w:line="239" w:lineRule="auto"/>
        <w:ind w:left="561" w:hanging="560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</w:p>
    <w:p w14:paraId="0502B3B3" w14:textId="77777777" w:rsidR="00F86CF2" w:rsidRDefault="00F86CF2" w:rsidP="00F86CF2">
      <w:pPr>
        <w:numPr>
          <w:ilvl w:val="0"/>
          <w:numId w:val="2"/>
        </w:numPr>
        <w:tabs>
          <w:tab w:val="left" w:pos="561"/>
        </w:tabs>
        <w:ind w:left="561" w:hanging="560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53B49538" w14:textId="77777777" w:rsidR="00F86CF2" w:rsidRDefault="00F86CF2" w:rsidP="00F86CF2">
      <w:pPr>
        <w:spacing w:line="1" w:lineRule="exact"/>
        <w:rPr>
          <w:rFonts w:eastAsia="Times New Roman"/>
        </w:rPr>
      </w:pPr>
    </w:p>
    <w:p w14:paraId="51CD7237" w14:textId="77777777" w:rsidR="00F86CF2" w:rsidRDefault="00F86CF2" w:rsidP="00F86CF2">
      <w:pPr>
        <w:numPr>
          <w:ilvl w:val="0"/>
          <w:numId w:val="2"/>
        </w:numPr>
        <w:tabs>
          <w:tab w:val="left" w:pos="561"/>
        </w:tabs>
        <w:spacing w:line="239" w:lineRule="auto"/>
        <w:ind w:left="561" w:hanging="560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</w:p>
    <w:p w14:paraId="51A37EE6" w14:textId="77777777" w:rsidR="00F86CF2" w:rsidRDefault="00F86CF2" w:rsidP="00F86CF2">
      <w:pPr>
        <w:numPr>
          <w:ilvl w:val="0"/>
          <w:numId w:val="2"/>
        </w:numPr>
        <w:tabs>
          <w:tab w:val="left" w:pos="561"/>
        </w:tabs>
        <w:ind w:left="561" w:hanging="560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08480C02" w14:textId="77777777" w:rsidR="00F86CF2" w:rsidRDefault="00F86CF2" w:rsidP="00F86CF2">
      <w:pPr>
        <w:spacing w:line="200" w:lineRule="exact"/>
        <w:rPr>
          <w:rFonts w:eastAsia="Times New Roman"/>
        </w:rPr>
      </w:pPr>
    </w:p>
    <w:p w14:paraId="4F016305" w14:textId="77777777" w:rsidR="00F86CF2" w:rsidRDefault="00F86CF2" w:rsidP="00F86CF2">
      <w:pPr>
        <w:spacing w:line="306" w:lineRule="exact"/>
        <w:rPr>
          <w:rFonts w:eastAsia="Times New Roman"/>
        </w:rPr>
      </w:pPr>
    </w:p>
    <w:p w14:paraId="03409CCC" w14:textId="77777777" w:rsidR="00F86CF2" w:rsidRDefault="00F86CF2" w:rsidP="00F86CF2">
      <w:pPr>
        <w:numPr>
          <w:ilvl w:val="0"/>
          <w:numId w:val="3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CellCept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60CBF9C0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0C392B13" w14:textId="77777777" w:rsidR="00F86CF2" w:rsidRDefault="00F86CF2" w:rsidP="00F86CF2">
      <w:pPr>
        <w:ind w:left="1"/>
        <w:rPr>
          <w:sz w:val="20"/>
          <w:szCs w:val="20"/>
        </w:rPr>
      </w:pPr>
      <w:r>
        <w:rPr>
          <w:rFonts w:eastAsia="Times New Roman"/>
        </w:rPr>
        <w:t xml:space="preserve">Visas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pavadinimas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250 mg </w:t>
      </w:r>
      <w:proofErr w:type="spellStart"/>
      <w:r>
        <w:rPr>
          <w:rFonts w:eastAsia="Times New Roman"/>
        </w:rPr>
        <w:t>kapsulės</w:t>
      </w:r>
      <w:proofErr w:type="spellEnd"/>
      <w:r>
        <w:rPr>
          <w:rFonts w:eastAsia="Times New Roman"/>
        </w:rPr>
        <w:t>.</w:t>
      </w:r>
    </w:p>
    <w:p w14:paraId="083626BC" w14:textId="77777777" w:rsidR="00F86CF2" w:rsidRDefault="00F86CF2" w:rsidP="00F86CF2">
      <w:pPr>
        <w:spacing w:line="18" w:lineRule="exact"/>
        <w:rPr>
          <w:sz w:val="20"/>
          <w:szCs w:val="20"/>
        </w:rPr>
      </w:pPr>
    </w:p>
    <w:p w14:paraId="2078C1EE" w14:textId="77777777" w:rsidR="00F86CF2" w:rsidRDefault="00F86CF2" w:rsidP="00F86CF2">
      <w:pPr>
        <w:numPr>
          <w:ilvl w:val="0"/>
          <w:numId w:val="4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sutrumpintas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pavadinimas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>.</w:t>
      </w:r>
    </w:p>
    <w:p w14:paraId="53B493D0" w14:textId="77777777" w:rsidR="00F86CF2" w:rsidRDefault="00F86CF2" w:rsidP="00F86CF2">
      <w:pPr>
        <w:spacing w:line="250" w:lineRule="exact"/>
        <w:rPr>
          <w:sz w:val="20"/>
          <w:szCs w:val="20"/>
        </w:rPr>
      </w:pPr>
    </w:p>
    <w:p w14:paraId="51976FEC" w14:textId="77777777" w:rsidR="00F86CF2" w:rsidRDefault="00F86CF2" w:rsidP="00F86CF2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mikofenolato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mofetilio</w:t>
      </w:r>
      <w:proofErr w:type="spellEnd"/>
      <w:r>
        <w:rPr>
          <w:rFonts w:eastAsia="Times New Roman"/>
        </w:rPr>
        <w:t>.</w:t>
      </w:r>
    </w:p>
    <w:p w14:paraId="39AD9703" w14:textId="77777777" w:rsidR="00F86CF2" w:rsidRDefault="00F86CF2" w:rsidP="00F86CF2">
      <w:pPr>
        <w:spacing w:line="18" w:lineRule="exact"/>
        <w:rPr>
          <w:sz w:val="20"/>
          <w:szCs w:val="20"/>
        </w:rPr>
      </w:pPr>
    </w:p>
    <w:p w14:paraId="5387259B" w14:textId="77777777" w:rsidR="00F86CF2" w:rsidRDefault="00F86CF2" w:rsidP="00F86CF2">
      <w:pPr>
        <w:numPr>
          <w:ilvl w:val="0"/>
          <w:numId w:val="5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priklauso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grupei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vadinamai</w:t>
      </w:r>
      <w:proofErr w:type="spellEnd"/>
      <w:r>
        <w:rPr>
          <w:rFonts w:eastAsia="Times New Roman"/>
        </w:rPr>
        <w:t xml:space="preserve"> „</w:t>
      </w:r>
      <w:proofErr w:type="spellStart"/>
      <w:proofErr w:type="gramStart"/>
      <w:r>
        <w:rPr>
          <w:rFonts w:eastAsia="Times New Roman"/>
        </w:rPr>
        <w:t>imunosupresantais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>.</w:t>
      </w:r>
    </w:p>
    <w:p w14:paraId="02BA8B25" w14:textId="77777777" w:rsidR="00F86CF2" w:rsidRDefault="00F86CF2" w:rsidP="00F86CF2">
      <w:pPr>
        <w:spacing w:line="250" w:lineRule="exact"/>
        <w:rPr>
          <w:sz w:val="20"/>
          <w:szCs w:val="20"/>
        </w:rPr>
      </w:pPr>
    </w:p>
    <w:p w14:paraId="4978CA21" w14:textId="77777777" w:rsidR="00F86CF2" w:rsidRDefault="00F86CF2" w:rsidP="00F86CF2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neatmestų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persodinto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organo</w:t>
      </w:r>
      <w:proofErr w:type="spellEnd"/>
      <w:r>
        <w:rPr>
          <w:rFonts w:eastAsia="Times New Roman"/>
        </w:rPr>
        <w:t>:</w:t>
      </w:r>
    </w:p>
    <w:p w14:paraId="39EF3CF7" w14:textId="77777777" w:rsidR="00F86CF2" w:rsidRDefault="00F86CF2" w:rsidP="00F86CF2">
      <w:pPr>
        <w:spacing w:line="18" w:lineRule="exact"/>
        <w:rPr>
          <w:sz w:val="20"/>
          <w:szCs w:val="20"/>
        </w:rPr>
      </w:pPr>
    </w:p>
    <w:p w14:paraId="2A02AC91" w14:textId="77777777" w:rsidR="00F86CF2" w:rsidRDefault="00F86CF2" w:rsidP="00F86CF2">
      <w:pPr>
        <w:numPr>
          <w:ilvl w:val="0"/>
          <w:numId w:val="6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inksto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>.</w:t>
      </w:r>
    </w:p>
    <w:p w14:paraId="43A3128A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620B0622" w14:textId="77777777" w:rsidR="00F86CF2" w:rsidRDefault="00F86CF2" w:rsidP="00F86CF2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>:</w:t>
      </w:r>
    </w:p>
    <w:p w14:paraId="5BF72390" w14:textId="77777777" w:rsidR="00F86CF2" w:rsidRDefault="00F86CF2" w:rsidP="00F86CF2">
      <w:pPr>
        <w:spacing w:line="16" w:lineRule="exact"/>
        <w:rPr>
          <w:sz w:val="20"/>
          <w:szCs w:val="20"/>
        </w:rPr>
      </w:pPr>
    </w:p>
    <w:p w14:paraId="331C23A7" w14:textId="77777777" w:rsidR="00F86CF2" w:rsidRDefault="00F86CF2" w:rsidP="00F86CF2">
      <w:pPr>
        <w:numPr>
          <w:ilvl w:val="0"/>
          <w:numId w:val="7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ciklosporinu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kortikosteroidais</w:t>
      </w:r>
      <w:proofErr w:type="spellEnd"/>
      <w:r>
        <w:rPr>
          <w:rFonts w:eastAsia="Times New Roman"/>
        </w:rPr>
        <w:t>.</w:t>
      </w:r>
    </w:p>
    <w:p w14:paraId="59909D6D" w14:textId="77777777" w:rsidR="00F86CF2" w:rsidRDefault="00F86CF2" w:rsidP="00F86CF2">
      <w:pPr>
        <w:spacing w:line="200" w:lineRule="exact"/>
        <w:rPr>
          <w:rFonts w:ascii="Arial" w:eastAsia="Arial" w:hAnsi="Arial" w:cs="Arial"/>
        </w:rPr>
      </w:pPr>
    </w:p>
    <w:p w14:paraId="1BF43DAF" w14:textId="77777777" w:rsidR="00F86CF2" w:rsidRDefault="00F86CF2" w:rsidP="00F86CF2">
      <w:pPr>
        <w:spacing w:line="305" w:lineRule="exact"/>
        <w:rPr>
          <w:rFonts w:ascii="Arial" w:eastAsia="Arial" w:hAnsi="Arial" w:cs="Arial"/>
        </w:rPr>
      </w:pPr>
    </w:p>
    <w:p w14:paraId="03EF294F" w14:textId="77777777" w:rsidR="00F86CF2" w:rsidRDefault="00F86CF2" w:rsidP="00F86CF2">
      <w:pPr>
        <w:numPr>
          <w:ilvl w:val="1"/>
          <w:numId w:val="7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CellCept</w:t>
      </w:r>
      <w:proofErr w:type="spellEnd"/>
    </w:p>
    <w:p w14:paraId="09108129" w14:textId="77777777" w:rsidR="00F86CF2" w:rsidRDefault="00F86CF2" w:rsidP="00F86CF2">
      <w:pPr>
        <w:spacing w:line="251" w:lineRule="exact"/>
        <w:rPr>
          <w:sz w:val="20"/>
          <w:szCs w:val="20"/>
        </w:rPr>
      </w:pPr>
    </w:p>
    <w:p w14:paraId="5937C3FB" w14:textId="77777777" w:rsidR="00F86CF2" w:rsidRDefault="00F86CF2" w:rsidP="00F86CF2">
      <w:pPr>
        <w:ind w:left="1"/>
        <w:rPr>
          <w:sz w:val="20"/>
          <w:szCs w:val="20"/>
        </w:rPr>
      </w:pPr>
      <w:r>
        <w:rPr>
          <w:rFonts w:eastAsia="Times New Roman"/>
        </w:rPr>
        <w:t>ĮSPĖJIMAS</w:t>
      </w:r>
    </w:p>
    <w:p w14:paraId="4B6655F7" w14:textId="77777777" w:rsidR="00F86CF2" w:rsidRDefault="00F86CF2" w:rsidP="00F86CF2">
      <w:pPr>
        <w:spacing w:line="260" w:lineRule="auto"/>
        <w:ind w:left="1" w:right="146"/>
        <w:rPr>
          <w:sz w:val="20"/>
          <w:szCs w:val="20"/>
        </w:rPr>
      </w:pPr>
      <w:proofErr w:type="spellStart"/>
      <w:r>
        <w:rPr>
          <w:rFonts w:eastAsia="Times New Roman"/>
        </w:rPr>
        <w:t>Mikofenolatas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apsigimimus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žūtį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moteris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privalote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neigiamą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>.</w:t>
      </w:r>
    </w:p>
    <w:p w14:paraId="2FFCC025" w14:textId="77777777" w:rsidR="00F86CF2" w:rsidRDefault="00F86CF2" w:rsidP="00F86CF2">
      <w:pPr>
        <w:spacing w:line="190" w:lineRule="exact"/>
        <w:rPr>
          <w:sz w:val="20"/>
          <w:szCs w:val="20"/>
        </w:rPr>
      </w:pPr>
    </w:p>
    <w:p w14:paraId="0E641600" w14:textId="77777777" w:rsidR="00F86CF2" w:rsidRDefault="00F86CF2" w:rsidP="00F86CF2">
      <w:pPr>
        <w:ind w:left="1" w:right="526"/>
        <w:rPr>
          <w:sz w:val="20"/>
          <w:szCs w:val="20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papasakos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suteiks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rašytinės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mikofenolato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negimusiems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kūdikiams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instrukcijų</w:t>
      </w:r>
      <w:proofErr w:type="spellEnd"/>
      <w:r>
        <w:rPr>
          <w:rFonts w:eastAsia="Times New Roman"/>
        </w:rPr>
        <w:t>.</w:t>
      </w:r>
    </w:p>
    <w:p w14:paraId="30ACA736" w14:textId="77777777" w:rsidR="00F86CF2" w:rsidRDefault="00F86CF2" w:rsidP="00F86CF2">
      <w:pPr>
        <w:spacing w:line="260" w:lineRule="auto"/>
        <w:ind w:left="1" w:right="12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supratote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instrukcijas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mikofenolato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paaiškintų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. Be to, </w:t>
      </w:r>
      <w:proofErr w:type="spellStart"/>
      <w:r>
        <w:rPr>
          <w:rFonts w:eastAsia="Times New Roman"/>
        </w:rPr>
        <w:t>papildomos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poskyriuose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Įspėjimai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"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Nėštumas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laikotarpis</w:t>
      </w:r>
      <w:proofErr w:type="spellEnd"/>
      <w:r>
        <w:rPr>
          <w:rFonts w:eastAsia="Times New Roman"/>
        </w:rPr>
        <w:t>".</w:t>
      </w:r>
    </w:p>
    <w:p w14:paraId="6A9798B5" w14:textId="77777777" w:rsidR="00F86CF2" w:rsidRDefault="00F86CF2" w:rsidP="00F86CF2">
      <w:pPr>
        <w:spacing w:line="189" w:lineRule="exact"/>
        <w:rPr>
          <w:sz w:val="20"/>
          <w:szCs w:val="20"/>
        </w:rPr>
      </w:pPr>
    </w:p>
    <w:p w14:paraId="54CA4CA4" w14:textId="77777777" w:rsidR="00F86CF2" w:rsidRDefault="00F86CF2" w:rsidP="00F86CF2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CellCept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  <w:b/>
          <w:bCs/>
        </w:rPr>
        <w:t>:</w:t>
      </w:r>
    </w:p>
    <w:p w14:paraId="6FEB1734" w14:textId="77777777" w:rsidR="00F86CF2" w:rsidRDefault="00F86CF2" w:rsidP="00F86CF2">
      <w:pPr>
        <w:spacing w:line="17" w:lineRule="exact"/>
        <w:rPr>
          <w:sz w:val="20"/>
          <w:szCs w:val="20"/>
        </w:rPr>
      </w:pPr>
    </w:p>
    <w:p w14:paraId="28E607C0" w14:textId="77777777" w:rsidR="00F86CF2" w:rsidRDefault="00F86CF2" w:rsidP="00F86CF2">
      <w:pPr>
        <w:numPr>
          <w:ilvl w:val="0"/>
          <w:numId w:val="8"/>
        </w:numPr>
        <w:tabs>
          <w:tab w:val="left" w:pos="561"/>
        </w:tabs>
        <w:spacing w:line="247" w:lineRule="auto"/>
        <w:ind w:left="561" w:right="24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mikofenolato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mofetilui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mikofenolio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rūgščiai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BC40CEC" w14:textId="77777777" w:rsidR="00F86CF2" w:rsidRDefault="00F86CF2" w:rsidP="00F86CF2">
      <w:pPr>
        <w:spacing w:line="1" w:lineRule="exact"/>
        <w:rPr>
          <w:rFonts w:ascii="Arial" w:eastAsia="Arial" w:hAnsi="Arial" w:cs="Arial"/>
        </w:rPr>
      </w:pPr>
    </w:p>
    <w:p w14:paraId="4B3067BD" w14:textId="77777777" w:rsidR="00F86CF2" w:rsidRDefault="00F86CF2" w:rsidP="00F86CF2">
      <w:pPr>
        <w:numPr>
          <w:ilvl w:val="0"/>
          <w:numId w:val="8"/>
        </w:numPr>
        <w:tabs>
          <w:tab w:val="left" w:pos="561"/>
        </w:tabs>
        <w:spacing w:line="278" w:lineRule="auto"/>
        <w:ind w:left="561" w:right="40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išrašymą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nepateikėte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neigiamo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testo,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mikofenolatas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apsigimimus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persileidimą</w:t>
      </w:r>
      <w:proofErr w:type="spellEnd"/>
      <w:r>
        <w:rPr>
          <w:rFonts w:eastAsia="Times New Roman"/>
        </w:rPr>
        <w:t>;</w:t>
      </w:r>
      <w:proofErr w:type="gramEnd"/>
    </w:p>
    <w:p w14:paraId="1B08ABBB" w14:textId="77777777" w:rsidR="00F86CF2" w:rsidRDefault="00F86CF2" w:rsidP="00F86CF2">
      <w:pPr>
        <w:sectPr w:rsidR="00F86CF2">
          <w:pgSz w:w="11900" w:h="16841"/>
          <w:pgMar w:top="1103" w:right="1440" w:bottom="203" w:left="1419" w:header="0" w:footer="0" w:gutter="0"/>
          <w:cols w:space="720" w:equalWidth="0">
            <w:col w:w="9048"/>
          </w:cols>
        </w:sectPr>
      </w:pPr>
    </w:p>
    <w:p w14:paraId="36B0F841" w14:textId="77777777" w:rsidR="00F86CF2" w:rsidRDefault="00F86CF2" w:rsidP="00F86CF2">
      <w:pPr>
        <w:spacing w:line="385" w:lineRule="exact"/>
        <w:rPr>
          <w:sz w:val="20"/>
          <w:szCs w:val="20"/>
        </w:rPr>
      </w:pPr>
    </w:p>
    <w:p w14:paraId="3E30AEDA" w14:textId="77777777" w:rsidR="00F86CF2" w:rsidRDefault="00F86CF2" w:rsidP="00F86CF2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103</w:t>
      </w:r>
    </w:p>
    <w:p w14:paraId="6CB0C7D8" w14:textId="77777777" w:rsidR="00F86CF2" w:rsidRDefault="00F86CF2" w:rsidP="00F86CF2">
      <w:pPr>
        <w:sectPr w:rsidR="00F86CF2">
          <w:type w:val="continuous"/>
          <w:pgSz w:w="11900" w:h="16841"/>
          <w:pgMar w:top="1103" w:right="1440" w:bottom="203" w:left="1419" w:header="0" w:footer="0" w:gutter="0"/>
          <w:cols w:space="720" w:equalWidth="0">
            <w:col w:w="9048"/>
          </w:cols>
        </w:sectPr>
      </w:pPr>
    </w:p>
    <w:p w14:paraId="54EFA3D3" w14:textId="77777777" w:rsidR="00F86CF2" w:rsidRDefault="00F86CF2" w:rsidP="00F86CF2">
      <w:pPr>
        <w:numPr>
          <w:ilvl w:val="0"/>
          <w:numId w:val="9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bookmarkStart w:id="1" w:name="page104"/>
      <w:bookmarkEnd w:id="1"/>
      <w:proofErr w:type="spellStart"/>
      <w:r>
        <w:rPr>
          <w:rFonts w:eastAsia="Times New Roman"/>
        </w:rPr>
        <w:lastRenderedPageBreak/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gal </w:t>
      </w:r>
      <w:proofErr w:type="spellStart"/>
      <w:r>
        <w:rPr>
          <w:rFonts w:eastAsia="Times New Roman"/>
        </w:rPr>
        <w:t>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>;</w:t>
      </w:r>
      <w:proofErr w:type="gramEnd"/>
    </w:p>
    <w:p w14:paraId="086CC753" w14:textId="77777777" w:rsidR="00F86CF2" w:rsidRDefault="00F86CF2" w:rsidP="00F86CF2">
      <w:pPr>
        <w:spacing w:line="17" w:lineRule="exact"/>
        <w:rPr>
          <w:rFonts w:ascii="Arial" w:eastAsia="Arial" w:hAnsi="Arial" w:cs="Arial"/>
        </w:rPr>
      </w:pPr>
    </w:p>
    <w:p w14:paraId="50275D52" w14:textId="77777777" w:rsidR="00F86CF2" w:rsidRDefault="00F86CF2" w:rsidP="00F86CF2">
      <w:pPr>
        <w:numPr>
          <w:ilvl w:val="0"/>
          <w:numId w:val="9"/>
        </w:numPr>
        <w:tabs>
          <w:tab w:val="left" w:pos="562"/>
        </w:tabs>
        <w:spacing w:line="247" w:lineRule="auto"/>
        <w:ind w:left="562" w:right="84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žiūrėkite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poskyrį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Nėštumas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kontracepcija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vaisingumas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>);</w:t>
      </w:r>
    </w:p>
    <w:p w14:paraId="1133E60A" w14:textId="77777777" w:rsidR="00F86CF2" w:rsidRDefault="00F86CF2" w:rsidP="00F86CF2">
      <w:pPr>
        <w:spacing w:line="1" w:lineRule="exact"/>
        <w:rPr>
          <w:rFonts w:ascii="Arial" w:eastAsia="Arial" w:hAnsi="Arial" w:cs="Arial"/>
        </w:rPr>
      </w:pPr>
    </w:p>
    <w:p w14:paraId="0F0CB98B" w14:textId="77777777" w:rsidR="00F86CF2" w:rsidRDefault="00F86CF2" w:rsidP="00F86CF2">
      <w:pPr>
        <w:numPr>
          <w:ilvl w:val="0"/>
          <w:numId w:val="9"/>
        </w:numPr>
        <w:tabs>
          <w:tab w:val="left" w:pos="562"/>
        </w:tabs>
        <w:spacing w:line="238" w:lineRule="auto"/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>.</w:t>
      </w:r>
    </w:p>
    <w:p w14:paraId="7636CDE7" w14:textId="77777777" w:rsidR="00F86CF2" w:rsidRDefault="00F86CF2" w:rsidP="00F86CF2">
      <w:pPr>
        <w:spacing w:line="279" w:lineRule="auto"/>
        <w:ind w:left="2" w:right="20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paminėtų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nevartokite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>.</w:t>
      </w:r>
    </w:p>
    <w:p w14:paraId="2F8610E7" w14:textId="77777777" w:rsidR="00F86CF2" w:rsidRDefault="00F86CF2" w:rsidP="00F86CF2">
      <w:pPr>
        <w:spacing w:line="169" w:lineRule="exact"/>
        <w:rPr>
          <w:sz w:val="20"/>
          <w:szCs w:val="20"/>
        </w:rPr>
      </w:pPr>
    </w:p>
    <w:p w14:paraId="45433CAB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3F7B424A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:</w:t>
      </w:r>
    </w:p>
    <w:p w14:paraId="76AAE65F" w14:textId="77777777" w:rsidR="00F86CF2" w:rsidRDefault="00F86CF2" w:rsidP="00F86CF2">
      <w:pPr>
        <w:spacing w:line="18" w:lineRule="exact"/>
        <w:rPr>
          <w:sz w:val="20"/>
          <w:szCs w:val="20"/>
        </w:rPr>
      </w:pPr>
    </w:p>
    <w:p w14:paraId="1554D462" w14:textId="77777777" w:rsidR="00F86CF2" w:rsidRDefault="00F86CF2" w:rsidP="00F86CF2">
      <w:pPr>
        <w:numPr>
          <w:ilvl w:val="0"/>
          <w:numId w:val="10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atsirado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72646F77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12152D75" w14:textId="77777777" w:rsidR="00F86CF2" w:rsidRDefault="00F86CF2" w:rsidP="00F86CF2">
      <w:pPr>
        <w:numPr>
          <w:ilvl w:val="0"/>
          <w:numId w:val="10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netikėtai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mėlynių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>;</w:t>
      </w:r>
      <w:proofErr w:type="gramEnd"/>
    </w:p>
    <w:p w14:paraId="517D937B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598FB571" w14:textId="77777777" w:rsidR="00F86CF2" w:rsidRDefault="00F86CF2" w:rsidP="00F86CF2">
      <w:pPr>
        <w:numPr>
          <w:ilvl w:val="0"/>
          <w:numId w:val="10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skundėtės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trakto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opų</w:t>
      </w:r>
      <w:proofErr w:type="spellEnd"/>
      <w:r>
        <w:rPr>
          <w:rFonts w:eastAsia="Times New Roman"/>
        </w:rPr>
        <w:t>;</w:t>
      </w:r>
      <w:proofErr w:type="gramEnd"/>
    </w:p>
    <w:p w14:paraId="79308F22" w14:textId="77777777" w:rsidR="00F86CF2" w:rsidRDefault="00F86CF2" w:rsidP="00F86CF2">
      <w:pPr>
        <w:spacing w:line="17" w:lineRule="exact"/>
        <w:rPr>
          <w:rFonts w:ascii="Arial" w:eastAsia="Arial" w:hAnsi="Arial" w:cs="Arial"/>
        </w:rPr>
      </w:pPr>
    </w:p>
    <w:p w14:paraId="56EFF872" w14:textId="77777777" w:rsidR="00F86CF2" w:rsidRDefault="00F86CF2" w:rsidP="00F86CF2">
      <w:pPr>
        <w:numPr>
          <w:ilvl w:val="0"/>
          <w:numId w:val="10"/>
        </w:numPr>
        <w:tabs>
          <w:tab w:val="left" w:pos="562"/>
        </w:tabs>
        <w:spacing w:line="238" w:lineRule="auto"/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pastojote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partneris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>.</w:t>
      </w:r>
    </w:p>
    <w:p w14:paraId="4F1B193C" w14:textId="77777777" w:rsidR="00F86CF2" w:rsidRDefault="00F86CF2" w:rsidP="00F86CF2">
      <w:pPr>
        <w:spacing w:line="279" w:lineRule="auto"/>
        <w:ind w:left="2" w:right="4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paminėtų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>.</w:t>
      </w:r>
    </w:p>
    <w:p w14:paraId="5DA3FB3F" w14:textId="77777777" w:rsidR="00F86CF2" w:rsidRDefault="00F86CF2" w:rsidP="00F86CF2">
      <w:pPr>
        <w:spacing w:line="171" w:lineRule="exact"/>
        <w:rPr>
          <w:sz w:val="20"/>
          <w:szCs w:val="20"/>
        </w:rPr>
      </w:pPr>
    </w:p>
    <w:p w14:paraId="76EA81AA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Saulės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šviesos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1D7D5889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padidėja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pavojus</w:t>
      </w:r>
      <w:proofErr w:type="spellEnd"/>
      <w:r>
        <w:rPr>
          <w:rFonts w:eastAsia="Times New Roman"/>
        </w:rPr>
        <w:t>.</w:t>
      </w:r>
    </w:p>
    <w:p w14:paraId="6CBA4A52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Ribokite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UV (</w:t>
      </w:r>
      <w:proofErr w:type="spellStart"/>
      <w:r>
        <w:rPr>
          <w:rFonts w:eastAsia="Times New Roman"/>
        </w:rPr>
        <w:t>ultravioletinių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spindulių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>:</w:t>
      </w:r>
    </w:p>
    <w:p w14:paraId="41C221BA" w14:textId="77777777" w:rsidR="00F86CF2" w:rsidRDefault="00F86CF2" w:rsidP="00F86CF2">
      <w:pPr>
        <w:spacing w:line="16" w:lineRule="exact"/>
        <w:rPr>
          <w:sz w:val="20"/>
          <w:szCs w:val="20"/>
        </w:rPr>
      </w:pPr>
    </w:p>
    <w:p w14:paraId="4F94B2D0" w14:textId="77777777" w:rsidR="00F86CF2" w:rsidRDefault="00F86CF2" w:rsidP="00F86CF2">
      <w:pPr>
        <w:numPr>
          <w:ilvl w:val="0"/>
          <w:numId w:val="11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dėvėdami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drabužius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dengiančius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galvą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sprandą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rankas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kojas</w:t>
      </w:r>
      <w:proofErr w:type="spellEnd"/>
      <w:r>
        <w:rPr>
          <w:rFonts w:eastAsia="Times New Roman"/>
        </w:rPr>
        <w:t>;</w:t>
      </w:r>
      <w:proofErr w:type="gramEnd"/>
    </w:p>
    <w:p w14:paraId="169CB207" w14:textId="77777777" w:rsidR="00F86CF2" w:rsidRDefault="00F86CF2" w:rsidP="00F86CF2">
      <w:pPr>
        <w:spacing w:line="17" w:lineRule="exact"/>
        <w:rPr>
          <w:rFonts w:ascii="Arial" w:eastAsia="Arial" w:hAnsi="Arial" w:cs="Arial"/>
        </w:rPr>
      </w:pPr>
    </w:p>
    <w:p w14:paraId="14666F91" w14:textId="77777777" w:rsidR="00F86CF2" w:rsidRDefault="00F86CF2" w:rsidP="00F86CF2">
      <w:pPr>
        <w:numPr>
          <w:ilvl w:val="0"/>
          <w:numId w:val="11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apsaugančias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faktoriumi</w:t>
      </w:r>
      <w:proofErr w:type="spellEnd"/>
      <w:r>
        <w:rPr>
          <w:rFonts w:eastAsia="Times New Roman"/>
        </w:rPr>
        <w:t>.</w:t>
      </w:r>
    </w:p>
    <w:p w14:paraId="38D2C9EB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099917B6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CellCept</w:t>
      </w:r>
      <w:proofErr w:type="spellEnd"/>
    </w:p>
    <w:p w14:paraId="512F64B4" w14:textId="77777777" w:rsidR="00F86CF2" w:rsidRDefault="00F86CF2" w:rsidP="00F86CF2">
      <w:pPr>
        <w:spacing w:line="260" w:lineRule="auto"/>
        <w:ind w:left="2" w:right="10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įsigytus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recepto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augalinius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keisti</w:t>
      </w:r>
      <w:proofErr w:type="spellEnd"/>
      <w:r>
        <w:rPr>
          <w:rFonts w:eastAsia="Times New Roman"/>
        </w:rPr>
        <w:t xml:space="preserve"> kai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veikimą</w:t>
      </w:r>
      <w:proofErr w:type="spellEnd"/>
      <w:r>
        <w:rPr>
          <w:rFonts w:eastAsia="Times New Roman"/>
        </w:rPr>
        <w:t xml:space="preserve">. Be to,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veikimą</w:t>
      </w:r>
      <w:proofErr w:type="spellEnd"/>
      <w:r>
        <w:rPr>
          <w:rFonts w:eastAsia="Times New Roman"/>
        </w:rPr>
        <w:t>.</w:t>
      </w:r>
    </w:p>
    <w:p w14:paraId="22372116" w14:textId="77777777" w:rsidR="00F86CF2" w:rsidRDefault="00F86CF2" w:rsidP="00F86CF2">
      <w:pPr>
        <w:spacing w:line="190" w:lineRule="exact"/>
        <w:rPr>
          <w:sz w:val="20"/>
          <w:szCs w:val="20"/>
        </w:rPr>
      </w:pPr>
    </w:p>
    <w:p w14:paraId="37FD1EB6" w14:textId="77777777" w:rsidR="00F86CF2" w:rsidRDefault="00F86CF2" w:rsidP="00F86CF2">
      <w:pPr>
        <w:spacing w:line="246" w:lineRule="auto"/>
        <w:ind w:left="2" w:right="300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>:</w:t>
      </w:r>
    </w:p>
    <w:p w14:paraId="048FFE2B" w14:textId="77777777" w:rsidR="00F86CF2" w:rsidRDefault="00F86CF2" w:rsidP="00F86CF2">
      <w:pPr>
        <w:spacing w:line="2" w:lineRule="exact"/>
        <w:rPr>
          <w:sz w:val="20"/>
          <w:szCs w:val="20"/>
        </w:rPr>
      </w:pPr>
    </w:p>
    <w:p w14:paraId="23166721" w14:textId="77777777" w:rsidR="00F86CF2" w:rsidRDefault="00F86CF2" w:rsidP="00F86CF2">
      <w:pPr>
        <w:numPr>
          <w:ilvl w:val="0"/>
          <w:numId w:val="12"/>
        </w:numPr>
        <w:tabs>
          <w:tab w:val="left" w:pos="568"/>
        </w:tabs>
        <w:spacing w:line="247" w:lineRule="auto"/>
        <w:ind w:left="2" w:right="340" w:hanging="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azatioprino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slopinančių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skiriami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organo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persodinimo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operacijos</w:t>
      </w:r>
      <w:proofErr w:type="spellEnd"/>
      <w:r>
        <w:rPr>
          <w:rFonts w:eastAsia="Times New Roman"/>
        </w:rPr>
        <w:t>),</w:t>
      </w:r>
    </w:p>
    <w:p w14:paraId="2D7F169C" w14:textId="77777777" w:rsidR="00F86CF2" w:rsidRDefault="00F86CF2" w:rsidP="00F86CF2">
      <w:pPr>
        <w:spacing w:line="1" w:lineRule="exact"/>
        <w:rPr>
          <w:rFonts w:ascii="Arial" w:eastAsia="Arial" w:hAnsi="Arial" w:cs="Arial"/>
        </w:rPr>
      </w:pPr>
    </w:p>
    <w:p w14:paraId="7F932C4B" w14:textId="77777777" w:rsidR="00F86CF2" w:rsidRDefault="00F86CF2" w:rsidP="00F86CF2">
      <w:pPr>
        <w:numPr>
          <w:ilvl w:val="0"/>
          <w:numId w:val="12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kolestiramino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mažinti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didelį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cholesterolio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>),</w:t>
      </w:r>
    </w:p>
    <w:p w14:paraId="4C174057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330C36A1" w14:textId="77777777" w:rsidR="00F86CF2" w:rsidRDefault="00F86CF2" w:rsidP="00F86CF2">
      <w:pPr>
        <w:numPr>
          <w:ilvl w:val="0"/>
          <w:numId w:val="12"/>
        </w:numPr>
        <w:tabs>
          <w:tab w:val="left" w:pos="568"/>
        </w:tabs>
        <w:spacing w:line="247" w:lineRule="auto"/>
        <w:ind w:left="2" w:right="42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rifampicino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antibiotikas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tuberkuliozė</w:t>
      </w:r>
      <w:proofErr w:type="spellEnd"/>
      <w:r>
        <w:rPr>
          <w:rFonts w:eastAsia="Times New Roman"/>
        </w:rPr>
        <w:t xml:space="preserve"> (TBC) </w:t>
      </w:r>
      <w:proofErr w:type="spellStart"/>
      <w:r>
        <w:rPr>
          <w:rFonts w:eastAsia="Times New Roman"/>
        </w:rPr>
        <w:t>profilaktikai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>),</w:t>
      </w:r>
    </w:p>
    <w:p w14:paraId="76987CFA" w14:textId="77777777" w:rsidR="00F86CF2" w:rsidRDefault="00F86CF2" w:rsidP="00F86CF2">
      <w:pPr>
        <w:spacing w:line="1" w:lineRule="exact"/>
        <w:rPr>
          <w:rFonts w:ascii="Arial" w:eastAsia="Arial" w:hAnsi="Arial" w:cs="Arial"/>
        </w:rPr>
      </w:pPr>
    </w:p>
    <w:p w14:paraId="52FF6F64" w14:textId="77777777" w:rsidR="00F86CF2" w:rsidRDefault="00F86CF2" w:rsidP="00F86CF2">
      <w:pPr>
        <w:numPr>
          <w:ilvl w:val="0"/>
          <w:numId w:val="12"/>
        </w:numPr>
        <w:tabs>
          <w:tab w:val="left" w:pos="568"/>
        </w:tabs>
        <w:spacing w:line="247" w:lineRule="auto"/>
        <w:ind w:left="2" w:right="1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antacidinių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protonų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siurblio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inhibitorių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vartojami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rūgštingumo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nevirškinimui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),</w:t>
      </w:r>
    </w:p>
    <w:p w14:paraId="2C6130D0" w14:textId="77777777" w:rsidR="00F86CF2" w:rsidRDefault="00F86CF2" w:rsidP="00F86CF2">
      <w:pPr>
        <w:spacing w:line="1" w:lineRule="exact"/>
        <w:rPr>
          <w:rFonts w:ascii="Arial" w:eastAsia="Arial" w:hAnsi="Arial" w:cs="Arial"/>
        </w:rPr>
      </w:pPr>
    </w:p>
    <w:p w14:paraId="279A5B1A" w14:textId="77777777" w:rsidR="00F86CF2" w:rsidRDefault="00F86CF2" w:rsidP="00F86CF2">
      <w:pPr>
        <w:numPr>
          <w:ilvl w:val="0"/>
          <w:numId w:val="12"/>
        </w:numPr>
        <w:tabs>
          <w:tab w:val="left" w:pos="568"/>
        </w:tabs>
        <w:spacing w:line="246" w:lineRule="auto"/>
        <w:ind w:left="2" w:right="100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fosfatus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surišančių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skiriami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fosfatų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rezorbcijai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>),</w:t>
      </w:r>
    </w:p>
    <w:p w14:paraId="67A5CF7B" w14:textId="77777777" w:rsidR="00F86CF2" w:rsidRDefault="00F86CF2" w:rsidP="00F86CF2">
      <w:pPr>
        <w:spacing w:line="1" w:lineRule="exact"/>
        <w:rPr>
          <w:rFonts w:ascii="Arial" w:eastAsia="Arial" w:hAnsi="Arial" w:cs="Arial"/>
        </w:rPr>
      </w:pPr>
    </w:p>
    <w:p w14:paraId="5F15961F" w14:textId="77777777" w:rsidR="00F86CF2" w:rsidRDefault="00F86CF2" w:rsidP="00F86CF2">
      <w:pPr>
        <w:numPr>
          <w:ilvl w:val="0"/>
          <w:numId w:val="12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antibiotikų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vartojamų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bakterinėms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),</w:t>
      </w:r>
    </w:p>
    <w:p w14:paraId="5A2D0771" w14:textId="77777777" w:rsidR="00F86CF2" w:rsidRDefault="00F86CF2" w:rsidP="00F86CF2">
      <w:pPr>
        <w:spacing w:line="17" w:lineRule="exact"/>
        <w:rPr>
          <w:rFonts w:ascii="Arial" w:eastAsia="Arial" w:hAnsi="Arial" w:cs="Arial"/>
        </w:rPr>
      </w:pPr>
    </w:p>
    <w:p w14:paraId="0C834E46" w14:textId="77777777" w:rsidR="00F86CF2" w:rsidRDefault="00F86CF2" w:rsidP="00F86CF2">
      <w:pPr>
        <w:numPr>
          <w:ilvl w:val="0"/>
          <w:numId w:val="12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izavukonazolo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vartojamo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grybelinėms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),</w:t>
      </w:r>
    </w:p>
    <w:p w14:paraId="245E8D34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5A5BB917" w14:textId="77777777" w:rsidR="00F86CF2" w:rsidRDefault="00F86CF2" w:rsidP="00F86CF2">
      <w:pPr>
        <w:numPr>
          <w:ilvl w:val="0"/>
          <w:numId w:val="12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telmisartano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vartojamo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kraujospūdžiui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mažinti</w:t>
      </w:r>
      <w:proofErr w:type="spellEnd"/>
      <w:r>
        <w:rPr>
          <w:rFonts w:eastAsia="Times New Roman"/>
        </w:rPr>
        <w:t>).</w:t>
      </w:r>
    </w:p>
    <w:p w14:paraId="0BD87FD9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0BAD6F2B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Vakcinos</w:t>
      </w:r>
      <w:proofErr w:type="spellEnd"/>
    </w:p>
    <w:p w14:paraId="178E751A" w14:textId="77777777" w:rsidR="00F86CF2" w:rsidRDefault="00F86CF2" w:rsidP="00F86CF2">
      <w:pPr>
        <w:spacing w:line="281" w:lineRule="auto"/>
        <w:ind w:left="2" w:right="8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gyvosiomis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vakcinomis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darydami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patars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skiepytis</w:t>
      </w:r>
      <w:proofErr w:type="spellEnd"/>
      <w:r>
        <w:rPr>
          <w:rFonts w:eastAsia="Times New Roman"/>
        </w:rPr>
        <w:t>.</w:t>
      </w:r>
    </w:p>
    <w:p w14:paraId="4F2F2DED" w14:textId="77777777" w:rsidR="00F86CF2" w:rsidRDefault="00F86CF2" w:rsidP="00F86CF2">
      <w:pPr>
        <w:spacing w:line="166" w:lineRule="exact"/>
        <w:rPr>
          <w:sz w:val="20"/>
          <w:szCs w:val="20"/>
        </w:rPr>
      </w:pPr>
    </w:p>
    <w:p w14:paraId="6001C1E0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bent 6 </w:t>
      </w: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donoru</w:t>
      </w:r>
      <w:proofErr w:type="spellEnd"/>
      <w:r>
        <w:rPr>
          <w:rFonts w:eastAsia="Times New Roman"/>
        </w:rPr>
        <w:t>.</w:t>
      </w:r>
    </w:p>
    <w:p w14:paraId="3E7793FA" w14:textId="77777777" w:rsidR="00F86CF2" w:rsidRDefault="00F86CF2" w:rsidP="00F86CF2">
      <w:pPr>
        <w:spacing w:line="1" w:lineRule="exact"/>
        <w:rPr>
          <w:sz w:val="20"/>
          <w:szCs w:val="20"/>
        </w:rPr>
      </w:pPr>
    </w:p>
    <w:p w14:paraId="0C74C35A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90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spermos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donoru</w:t>
      </w:r>
      <w:proofErr w:type="spellEnd"/>
      <w:r>
        <w:rPr>
          <w:rFonts w:eastAsia="Times New Roman"/>
        </w:rPr>
        <w:t>.</w:t>
      </w:r>
    </w:p>
    <w:p w14:paraId="76770BE3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50100C82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CellCept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maistu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gėrimais</w:t>
      </w:r>
      <w:proofErr w:type="spellEnd"/>
    </w:p>
    <w:p w14:paraId="12BCB99C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gėrimais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>.</w:t>
      </w:r>
    </w:p>
    <w:p w14:paraId="6D295C1A" w14:textId="77777777" w:rsidR="00F86CF2" w:rsidRDefault="00F86CF2" w:rsidP="00F86CF2">
      <w:pPr>
        <w:sectPr w:rsidR="00F86CF2">
          <w:pgSz w:w="11900" w:h="16841"/>
          <w:pgMar w:top="1119" w:right="1406" w:bottom="203" w:left="1418" w:header="0" w:footer="0" w:gutter="0"/>
          <w:cols w:space="720" w:equalWidth="0">
            <w:col w:w="9082"/>
          </w:cols>
        </w:sectPr>
      </w:pPr>
    </w:p>
    <w:p w14:paraId="66BF47C1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5330B01F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0DE17C84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1E7292F8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2C7D04B8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532ACB67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2BCA0FFA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01D3B055" w14:textId="77777777" w:rsidR="00F86CF2" w:rsidRDefault="00F86CF2" w:rsidP="00F86CF2">
      <w:pPr>
        <w:spacing w:line="216" w:lineRule="exact"/>
        <w:rPr>
          <w:sz w:val="20"/>
          <w:szCs w:val="20"/>
        </w:rPr>
      </w:pPr>
    </w:p>
    <w:p w14:paraId="31205D6F" w14:textId="77777777" w:rsidR="00F86CF2" w:rsidRDefault="00F86CF2" w:rsidP="00F86CF2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104</w:t>
      </w:r>
    </w:p>
    <w:p w14:paraId="41AD39C7" w14:textId="77777777" w:rsidR="00F86CF2" w:rsidRDefault="00F86CF2" w:rsidP="00F86CF2">
      <w:pPr>
        <w:sectPr w:rsidR="00F86CF2">
          <w:type w:val="continuous"/>
          <w:pgSz w:w="11900" w:h="16841"/>
          <w:pgMar w:top="1119" w:right="1406" w:bottom="203" w:left="1418" w:header="0" w:footer="0" w:gutter="0"/>
          <w:cols w:space="720" w:equalWidth="0">
            <w:col w:w="9082"/>
          </w:cols>
        </w:sectPr>
      </w:pPr>
    </w:p>
    <w:p w14:paraId="2D8E5897" w14:textId="77777777" w:rsidR="00F86CF2" w:rsidRDefault="00F86CF2" w:rsidP="00F86CF2">
      <w:pPr>
        <w:ind w:left="2"/>
        <w:rPr>
          <w:sz w:val="20"/>
          <w:szCs w:val="20"/>
        </w:rPr>
      </w:pPr>
      <w:bookmarkStart w:id="2" w:name="page105"/>
      <w:bookmarkEnd w:id="2"/>
      <w:proofErr w:type="spellStart"/>
      <w:r>
        <w:rPr>
          <w:rFonts w:eastAsia="Times New Roman"/>
          <w:b/>
          <w:bCs/>
        </w:rPr>
        <w:lastRenderedPageBreak/>
        <w:t>Nėštumas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kontracepcija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48E975C4" w14:textId="77777777" w:rsidR="00F86CF2" w:rsidRDefault="00F86CF2" w:rsidP="00F86CF2">
      <w:pPr>
        <w:spacing w:line="253" w:lineRule="exact"/>
        <w:rPr>
          <w:sz w:val="20"/>
          <w:szCs w:val="20"/>
        </w:rPr>
      </w:pPr>
    </w:p>
    <w:p w14:paraId="3F57C309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Kontracepcija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moterims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vartojančioms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CellCept</w:t>
      </w:r>
      <w:proofErr w:type="spellEnd"/>
    </w:p>
    <w:p w14:paraId="24E1FA27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privalote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metodą</w:t>
      </w:r>
      <w:proofErr w:type="spellEnd"/>
      <w:r>
        <w:rPr>
          <w:rFonts w:eastAsia="Times New Roman"/>
        </w:rPr>
        <w:t>:</w:t>
      </w:r>
    </w:p>
    <w:p w14:paraId="0C466165" w14:textId="77777777" w:rsidR="00F86CF2" w:rsidRDefault="00F86CF2" w:rsidP="00F86CF2">
      <w:pPr>
        <w:spacing w:line="16" w:lineRule="exact"/>
        <w:rPr>
          <w:sz w:val="20"/>
          <w:szCs w:val="20"/>
        </w:rPr>
      </w:pPr>
    </w:p>
    <w:p w14:paraId="03130E27" w14:textId="77777777" w:rsidR="00F86CF2" w:rsidRDefault="00F86CF2" w:rsidP="00F86CF2">
      <w:pPr>
        <w:numPr>
          <w:ilvl w:val="0"/>
          <w:numId w:val="13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>;</w:t>
      </w:r>
      <w:proofErr w:type="gramEnd"/>
    </w:p>
    <w:p w14:paraId="0D1292F6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1C9CA1F7" w14:textId="77777777" w:rsidR="00F86CF2" w:rsidRDefault="00F86CF2" w:rsidP="00F86CF2">
      <w:pPr>
        <w:numPr>
          <w:ilvl w:val="0"/>
          <w:numId w:val="13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laikotarpį</w:t>
      </w:r>
      <w:proofErr w:type="spellEnd"/>
      <w:r>
        <w:rPr>
          <w:rFonts w:eastAsia="Times New Roman"/>
        </w:rPr>
        <w:t>;</w:t>
      </w:r>
      <w:proofErr w:type="gramEnd"/>
    </w:p>
    <w:p w14:paraId="3FFE4CD9" w14:textId="77777777" w:rsidR="00F86CF2" w:rsidRDefault="00F86CF2" w:rsidP="00F86CF2">
      <w:pPr>
        <w:spacing w:line="17" w:lineRule="exact"/>
        <w:rPr>
          <w:rFonts w:ascii="Arial" w:eastAsia="Arial" w:hAnsi="Arial" w:cs="Arial"/>
        </w:rPr>
      </w:pPr>
    </w:p>
    <w:p w14:paraId="19D70068" w14:textId="77777777" w:rsidR="00F86CF2" w:rsidRDefault="00F86CF2" w:rsidP="00F86CF2">
      <w:pPr>
        <w:numPr>
          <w:ilvl w:val="0"/>
          <w:numId w:val="13"/>
        </w:numPr>
        <w:tabs>
          <w:tab w:val="left" w:pos="562"/>
        </w:tabs>
        <w:spacing w:line="238" w:lineRule="auto"/>
        <w:ind w:left="562" w:hanging="561"/>
        <w:rPr>
          <w:rFonts w:ascii="Arial" w:eastAsia="Arial" w:hAnsi="Arial" w:cs="Arial"/>
        </w:rPr>
      </w:pPr>
      <w:r>
        <w:rPr>
          <w:rFonts w:eastAsia="Times New Roman"/>
        </w:rPr>
        <w:t xml:space="preserve">6 </w:t>
      </w: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 xml:space="preserve"> po to, kai </w:t>
      </w:r>
      <w:proofErr w:type="spellStart"/>
      <w:r>
        <w:rPr>
          <w:rFonts w:eastAsia="Times New Roman"/>
        </w:rPr>
        <w:t>nustosite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>.</w:t>
      </w:r>
    </w:p>
    <w:p w14:paraId="68375039" w14:textId="77777777" w:rsidR="00F86CF2" w:rsidRDefault="00F86CF2" w:rsidP="00F86CF2">
      <w:pPr>
        <w:spacing w:line="1" w:lineRule="exact"/>
        <w:rPr>
          <w:sz w:val="20"/>
          <w:szCs w:val="20"/>
        </w:rPr>
      </w:pPr>
    </w:p>
    <w:p w14:paraId="2D0D8E9F" w14:textId="77777777" w:rsidR="00F86CF2" w:rsidRDefault="00F86CF2" w:rsidP="00F86CF2">
      <w:pPr>
        <w:spacing w:line="256" w:lineRule="auto"/>
        <w:ind w:left="2" w:right="126"/>
        <w:rPr>
          <w:sz w:val="20"/>
          <w:szCs w:val="20"/>
        </w:rPr>
      </w:pP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tinkamiausią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atsižvelgiant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konkrečią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situaciją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u w:val="single"/>
        </w:rPr>
        <w:t>Geriau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būtų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naudoti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dviejų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vieną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kita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papildančių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formų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kontracepciją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nes</w:t>
      </w:r>
      <w:proofErr w:type="spellEnd"/>
      <w:r>
        <w:rPr>
          <w:rFonts w:eastAsia="Times New Roman"/>
          <w:u w:val="single"/>
        </w:rPr>
        <w:t xml:space="preserve"> tai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u w:val="single"/>
        </w:rPr>
        <w:t>sumažintų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nelaukto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nėštumo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riziką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galvojate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kad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kontracepcija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neveiksminga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pamiršote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išgerti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kontraceptinę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tabletę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nedelsdama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kreipkitės</w:t>
      </w:r>
      <w:proofErr w:type="spellEnd"/>
      <w:r>
        <w:rPr>
          <w:rFonts w:eastAsia="Times New Roman"/>
          <w:b/>
          <w:bCs/>
        </w:rPr>
        <w:t xml:space="preserve"> į </w:t>
      </w:r>
      <w:proofErr w:type="spellStart"/>
      <w:r>
        <w:rPr>
          <w:rFonts w:eastAsia="Times New Roman"/>
          <w:b/>
          <w:bCs/>
        </w:rPr>
        <w:t>savo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gydytoją</w:t>
      </w:r>
      <w:proofErr w:type="spellEnd"/>
      <w:r>
        <w:rPr>
          <w:rFonts w:eastAsia="Times New Roman"/>
          <w:b/>
          <w:bCs/>
        </w:rPr>
        <w:t>.</w:t>
      </w:r>
    </w:p>
    <w:p w14:paraId="7C254386" w14:textId="77777777" w:rsidR="00F86CF2" w:rsidRDefault="00F86CF2" w:rsidP="00F86CF2">
      <w:pPr>
        <w:spacing w:line="185" w:lineRule="exact"/>
        <w:rPr>
          <w:sz w:val="20"/>
          <w:szCs w:val="20"/>
        </w:rPr>
      </w:pPr>
    </w:p>
    <w:p w14:paraId="3C9C5CBF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</w:t>
      </w:r>
      <w:proofErr w:type="spellEnd"/>
      <w:r>
        <w:rPr>
          <w:rFonts w:eastAsia="Times New Roman"/>
        </w:rPr>
        <w:t>:</w:t>
      </w:r>
    </w:p>
    <w:p w14:paraId="559EE8F9" w14:textId="77777777" w:rsidR="00F86CF2" w:rsidRDefault="00F86CF2" w:rsidP="00F86CF2">
      <w:pPr>
        <w:spacing w:line="16" w:lineRule="exact"/>
        <w:rPr>
          <w:sz w:val="20"/>
          <w:szCs w:val="20"/>
        </w:rPr>
      </w:pPr>
    </w:p>
    <w:p w14:paraId="4C5C6D47" w14:textId="77777777" w:rsidR="00F86CF2" w:rsidRDefault="00F86CF2" w:rsidP="00F86CF2">
      <w:pPr>
        <w:numPr>
          <w:ilvl w:val="0"/>
          <w:numId w:val="14"/>
        </w:numPr>
        <w:tabs>
          <w:tab w:val="left" w:pos="568"/>
        </w:tabs>
        <w:spacing w:line="245" w:lineRule="auto"/>
        <w:ind w:left="2" w:right="246" w:hanging="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menopauzės</w:t>
      </w:r>
      <w:proofErr w:type="spellEnd"/>
      <w:r>
        <w:rPr>
          <w:rFonts w:eastAsia="Times New Roman"/>
        </w:rPr>
        <w:t xml:space="preserve">, t. y.,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bent 50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liovėsi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šansų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0D907F3" w14:textId="77777777" w:rsidR="00F86CF2" w:rsidRDefault="00F86CF2" w:rsidP="00F86CF2">
      <w:pPr>
        <w:spacing w:line="1" w:lineRule="exact"/>
        <w:rPr>
          <w:rFonts w:ascii="Arial" w:eastAsia="Arial" w:hAnsi="Arial" w:cs="Arial"/>
        </w:rPr>
      </w:pPr>
    </w:p>
    <w:p w14:paraId="7112AFDE" w14:textId="77777777" w:rsidR="00F86CF2" w:rsidRDefault="00F86CF2" w:rsidP="00F86CF2">
      <w:pPr>
        <w:numPr>
          <w:ilvl w:val="0"/>
          <w:numId w:val="14"/>
        </w:numPr>
        <w:tabs>
          <w:tab w:val="left" w:pos="568"/>
        </w:tabs>
        <w:spacing w:line="246" w:lineRule="auto"/>
        <w:ind w:left="2" w:right="806" w:hanging="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pašalinti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kiaušintakiai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abipusė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salpingo-ovarektomija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4F1D97F" w14:textId="77777777" w:rsidR="00F86CF2" w:rsidRDefault="00F86CF2" w:rsidP="00F86CF2">
      <w:pPr>
        <w:spacing w:line="1" w:lineRule="exact"/>
        <w:rPr>
          <w:rFonts w:ascii="Arial" w:eastAsia="Arial" w:hAnsi="Arial" w:cs="Arial"/>
        </w:rPr>
      </w:pPr>
    </w:p>
    <w:p w14:paraId="7D31D518" w14:textId="77777777" w:rsidR="00F86CF2" w:rsidRDefault="00F86CF2" w:rsidP="00F86CF2">
      <w:pPr>
        <w:numPr>
          <w:ilvl w:val="0"/>
          <w:numId w:val="14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gimda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pašalinta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chirurginiu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atlikta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histerektomija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BC8F293" w14:textId="77777777" w:rsidR="00F86CF2" w:rsidRDefault="00F86CF2" w:rsidP="00F86CF2">
      <w:pPr>
        <w:spacing w:line="17" w:lineRule="exact"/>
        <w:rPr>
          <w:rFonts w:ascii="Arial" w:eastAsia="Arial" w:hAnsi="Arial" w:cs="Arial"/>
        </w:rPr>
      </w:pPr>
    </w:p>
    <w:p w14:paraId="670EF127" w14:textId="77777777" w:rsidR="00F86CF2" w:rsidRDefault="00F86CF2" w:rsidP="00F86CF2">
      <w:pPr>
        <w:numPr>
          <w:ilvl w:val="0"/>
          <w:numId w:val="14"/>
        </w:numPr>
        <w:tabs>
          <w:tab w:val="left" w:pos="568"/>
        </w:tabs>
        <w:spacing w:line="246" w:lineRule="auto"/>
        <w:ind w:left="2" w:right="506" w:hanging="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nebefunkcionuoja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išsivystė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priešlaikinis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kiaušidžių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patvirtino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ginekologas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34659D5" w14:textId="77777777" w:rsidR="00F86CF2" w:rsidRDefault="00F86CF2" w:rsidP="00F86CF2">
      <w:pPr>
        <w:spacing w:line="1" w:lineRule="exact"/>
        <w:rPr>
          <w:rFonts w:ascii="Arial" w:eastAsia="Arial" w:hAnsi="Arial" w:cs="Arial"/>
        </w:rPr>
      </w:pPr>
    </w:p>
    <w:p w14:paraId="7CF11319" w14:textId="77777777" w:rsidR="00F86CF2" w:rsidRDefault="00F86CF2" w:rsidP="00F86CF2">
      <w:pPr>
        <w:numPr>
          <w:ilvl w:val="0"/>
          <w:numId w:val="14"/>
        </w:numPr>
        <w:tabs>
          <w:tab w:val="left" w:pos="568"/>
        </w:tabs>
        <w:spacing w:line="247" w:lineRule="auto"/>
        <w:ind w:left="2" w:right="32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diagnozuota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įgimtų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neįmanoma</w:t>
      </w:r>
      <w:proofErr w:type="spellEnd"/>
      <w:r>
        <w:rPr>
          <w:rFonts w:eastAsia="Times New Roman"/>
        </w:rPr>
        <w:t xml:space="preserve">: XY </w:t>
      </w:r>
      <w:proofErr w:type="spellStart"/>
      <w:r>
        <w:rPr>
          <w:rFonts w:eastAsia="Times New Roman"/>
        </w:rPr>
        <w:t>genotipas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Ternerio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i/>
          <w:iCs/>
        </w:rPr>
        <w:t>Turner</w:t>
      </w:r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gimdos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agenezė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neišsivystymas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776944D" w14:textId="77777777" w:rsidR="00F86CF2" w:rsidRDefault="00F86CF2" w:rsidP="00F86CF2">
      <w:pPr>
        <w:spacing w:line="1" w:lineRule="exact"/>
        <w:rPr>
          <w:rFonts w:ascii="Arial" w:eastAsia="Arial" w:hAnsi="Arial" w:cs="Arial"/>
        </w:rPr>
      </w:pPr>
    </w:p>
    <w:p w14:paraId="2B242F4E" w14:textId="77777777" w:rsidR="00F86CF2" w:rsidRDefault="00F86CF2" w:rsidP="00F86CF2">
      <w:pPr>
        <w:numPr>
          <w:ilvl w:val="0"/>
          <w:numId w:val="14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neatsirado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mėnesinės</w:t>
      </w:r>
      <w:proofErr w:type="spellEnd"/>
      <w:r>
        <w:rPr>
          <w:rFonts w:eastAsia="Times New Roman"/>
        </w:rPr>
        <w:t>.</w:t>
      </w:r>
    </w:p>
    <w:p w14:paraId="26379B4E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3E4DBC41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Kontracepcija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vyrams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vartojantiems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CellCept</w:t>
      </w:r>
      <w:proofErr w:type="spellEnd"/>
    </w:p>
    <w:p w14:paraId="473BD6F0" w14:textId="77777777" w:rsidR="00F86CF2" w:rsidRDefault="00F86CF2" w:rsidP="00F86CF2">
      <w:pPr>
        <w:spacing w:line="253" w:lineRule="auto"/>
        <w:ind w:left="2" w:right="506"/>
        <w:rPr>
          <w:sz w:val="20"/>
          <w:szCs w:val="20"/>
        </w:rPr>
      </w:pPr>
      <w:proofErr w:type="spellStart"/>
      <w:r>
        <w:rPr>
          <w:rFonts w:eastAsia="Times New Roman"/>
        </w:rPr>
        <w:t>Turimi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įrodymai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nerodo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apsigimimų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persileidimo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tėvas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mikofenolato</w:t>
      </w:r>
      <w:proofErr w:type="spellEnd"/>
      <w:r>
        <w:rPr>
          <w:rFonts w:eastAsia="Times New Roman"/>
        </w:rPr>
        <w:t xml:space="preserve">. Vis </w:t>
      </w:r>
      <w:proofErr w:type="spellStart"/>
      <w:r>
        <w:rPr>
          <w:rFonts w:eastAsia="Times New Roman"/>
        </w:rPr>
        <w:t>dėlto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Atsargumo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dėlei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partnerei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patikimą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90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>.</w:t>
      </w:r>
    </w:p>
    <w:p w14:paraId="5DB1A069" w14:textId="77777777" w:rsidR="00F86CF2" w:rsidRDefault="00F86CF2" w:rsidP="00F86CF2">
      <w:pPr>
        <w:spacing w:line="198" w:lineRule="exact"/>
        <w:rPr>
          <w:sz w:val="20"/>
          <w:szCs w:val="20"/>
        </w:rPr>
      </w:pPr>
    </w:p>
    <w:p w14:paraId="0263B337" w14:textId="77777777" w:rsidR="00F86CF2" w:rsidRDefault="00F86CF2" w:rsidP="00F86CF2">
      <w:pPr>
        <w:spacing w:line="281" w:lineRule="auto"/>
        <w:ind w:left="2" w:right="14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>.</w:t>
      </w:r>
    </w:p>
    <w:p w14:paraId="45DEFB01" w14:textId="77777777" w:rsidR="00F86CF2" w:rsidRDefault="00F86CF2" w:rsidP="00F86CF2">
      <w:pPr>
        <w:spacing w:line="167" w:lineRule="exact"/>
        <w:rPr>
          <w:sz w:val="20"/>
          <w:szCs w:val="20"/>
        </w:rPr>
      </w:pPr>
    </w:p>
    <w:p w14:paraId="16502DC9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1CF92906" w14:textId="77777777" w:rsidR="00F86CF2" w:rsidRDefault="00F86CF2" w:rsidP="00F86CF2">
      <w:pPr>
        <w:spacing w:line="251" w:lineRule="auto"/>
        <w:ind w:left="2" w:right="126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esate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nėščia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žindote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kūdikį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manote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galbūt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esate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nėščia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planuojate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pastoti</w:t>
      </w:r>
      <w:proofErr w:type="spellEnd"/>
      <w:r>
        <w:rPr>
          <w:rFonts w:eastAsia="Times New Roman"/>
          <w:sz w:val="21"/>
          <w:szCs w:val="21"/>
        </w:rPr>
        <w:t xml:space="preserve">, tai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vartodama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pasitarkite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vaistininku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papasakos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nėštumo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kylančius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pavojus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alternatyvas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persodinto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organo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atmetimo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prevencijai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>:</w:t>
      </w:r>
    </w:p>
    <w:p w14:paraId="1DA79D14" w14:textId="77777777" w:rsidR="00F86CF2" w:rsidRDefault="00F86CF2" w:rsidP="00F86CF2">
      <w:pPr>
        <w:numPr>
          <w:ilvl w:val="0"/>
          <w:numId w:val="15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>;</w:t>
      </w:r>
      <w:proofErr w:type="gramEnd"/>
    </w:p>
    <w:p w14:paraId="4241D032" w14:textId="77777777" w:rsidR="00F86CF2" w:rsidRDefault="00F86CF2" w:rsidP="00F86CF2">
      <w:pPr>
        <w:numPr>
          <w:ilvl w:val="0"/>
          <w:numId w:val="15"/>
        </w:numPr>
        <w:tabs>
          <w:tab w:val="left" w:pos="562"/>
        </w:tabs>
        <w:ind w:left="562" w:right="266" w:hanging="560"/>
        <w:rPr>
          <w:rFonts w:eastAsia="Times New Roman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dingo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galvojate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dingo </w:t>
      </w:r>
      <w:proofErr w:type="spellStart"/>
      <w:r>
        <w:rPr>
          <w:rFonts w:eastAsia="Times New Roman"/>
        </w:rPr>
        <w:t>mėnesinės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mėnesinių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neįprastas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įtariate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pastojote</w:t>
      </w:r>
      <w:proofErr w:type="spellEnd"/>
      <w:r>
        <w:rPr>
          <w:rFonts w:eastAsia="Times New Roman"/>
        </w:rPr>
        <w:t>;</w:t>
      </w:r>
      <w:proofErr w:type="gramEnd"/>
    </w:p>
    <w:p w14:paraId="71DCF663" w14:textId="77777777" w:rsidR="00F86CF2" w:rsidRDefault="00F86CF2" w:rsidP="00F86CF2">
      <w:pPr>
        <w:numPr>
          <w:ilvl w:val="0"/>
          <w:numId w:val="15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santykių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nenaudojate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metodų</w:t>
      </w:r>
      <w:proofErr w:type="spellEnd"/>
      <w:r>
        <w:rPr>
          <w:rFonts w:eastAsia="Times New Roman"/>
        </w:rPr>
        <w:t>.</w:t>
      </w:r>
    </w:p>
    <w:p w14:paraId="44E52734" w14:textId="77777777" w:rsidR="00F86CF2" w:rsidRDefault="00F86CF2" w:rsidP="00F86CF2">
      <w:pPr>
        <w:spacing w:line="1" w:lineRule="exact"/>
        <w:rPr>
          <w:sz w:val="20"/>
          <w:szCs w:val="20"/>
        </w:rPr>
      </w:pPr>
    </w:p>
    <w:p w14:paraId="261DDDD1" w14:textId="77777777" w:rsidR="00F86CF2" w:rsidRDefault="00F86CF2" w:rsidP="00F86CF2">
      <w:pPr>
        <w:spacing w:line="279" w:lineRule="auto"/>
        <w:ind w:left="2" w:right="20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mikofenolatu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privalote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. Vis </w:t>
      </w:r>
      <w:proofErr w:type="spellStart"/>
      <w:r>
        <w:rPr>
          <w:rFonts w:eastAsia="Times New Roman"/>
        </w:rPr>
        <w:t>dėlto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apsilankymo</w:t>
      </w:r>
      <w:proofErr w:type="spellEnd"/>
      <w:r>
        <w:rPr>
          <w:rFonts w:eastAsia="Times New Roman"/>
        </w:rPr>
        <w:t xml:space="preserve"> pas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62D3724A" w14:textId="77777777" w:rsidR="00F86CF2" w:rsidRDefault="00F86CF2" w:rsidP="00F86CF2">
      <w:pPr>
        <w:spacing w:line="169" w:lineRule="exact"/>
        <w:rPr>
          <w:sz w:val="20"/>
          <w:szCs w:val="20"/>
        </w:rPr>
      </w:pPr>
    </w:p>
    <w:p w14:paraId="64D47924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</w:p>
    <w:p w14:paraId="4638485F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Mikofenolatas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labai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dažnai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sukelia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persileidimą</w:t>
      </w:r>
      <w:proofErr w:type="spellEnd"/>
      <w:r>
        <w:rPr>
          <w:rFonts w:eastAsia="Times New Roman"/>
          <w:sz w:val="21"/>
          <w:szCs w:val="21"/>
        </w:rPr>
        <w:t xml:space="preserve"> (50 %)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sunkius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negimusio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kūdikio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apsigimimus</w:t>
      </w:r>
      <w:proofErr w:type="spellEnd"/>
      <w:r>
        <w:rPr>
          <w:rFonts w:eastAsia="Times New Roman"/>
          <w:sz w:val="21"/>
          <w:szCs w:val="21"/>
        </w:rPr>
        <w:t xml:space="preserve"> (23</w:t>
      </w:r>
    </w:p>
    <w:p w14:paraId="783D4CBC" w14:textId="77777777" w:rsidR="00F86CF2" w:rsidRDefault="00F86CF2" w:rsidP="00F86CF2">
      <w:pPr>
        <w:spacing w:line="13" w:lineRule="exact"/>
        <w:rPr>
          <w:sz w:val="20"/>
          <w:szCs w:val="20"/>
        </w:rPr>
      </w:pPr>
    </w:p>
    <w:p w14:paraId="62B5BB89" w14:textId="77777777" w:rsidR="00F86CF2" w:rsidRDefault="00F86CF2" w:rsidP="00F86CF2">
      <w:pPr>
        <w:spacing w:line="253" w:lineRule="auto"/>
        <w:ind w:left="2" w:right="166"/>
        <w:rPr>
          <w:sz w:val="20"/>
          <w:szCs w:val="20"/>
        </w:rPr>
      </w:pPr>
      <w:r>
        <w:rPr>
          <w:rFonts w:eastAsia="Times New Roman"/>
        </w:rPr>
        <w:t xml:space="preserve">– 27 %). </w:t>
      </w:r>
      <w:proofErr w:type="spellStart"/>
      <w:r>
        <w:rPr>
          <w:rFonts w:eastAsia="Times New Roman"/>
        </w:rPr>
        <w:t>Pastebėti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apsigimimai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kiškio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lūpa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vilko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gomurys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pirštų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stemplės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vamzdelio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sujungia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ryklę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skrandžiu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r>
        <w:rPr>
          <w:rFonts w:eastAsia="Times New Roman"/>
          <w:i/>
          <w:iCs/>
        </w:rPr>
        <w:t>spina bifida</w:t>
      </w:r>
      <w:r>
        <w:rPr>
          <w:rFonts w:eastAsia="Times New Roman"/>
        </w:rPr>
        <w:t xml:space="preserve"> (kai </w:t>
      </w:r>
      <w:proofErr w:type="spellStart"/>
      <w:r>
        <w:rPr>
          <w:rFonts w:eastAsia="Times New Roman"/>
        </w:rPr>
        <w:t>stuburo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netinkamai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išsivystę</w:t>
      </w:r>
      <w:proofErr w:type="spellEnd"/>
      <w:r>
        <w:rPr>
          <w:rFonts w:eastAsia="Times New Roman"/>
        </w:rPr>
        <w:t xml:space="preserve">)) </w:t>
      </w:r>
      <w:proofErr w:type="spellStart"/>
      <w:r>
        <w:rPr>
          <w:rFonts w:eastAsia="Times New Roman"/>
        </w:rPr>
        <w:t>vystymosi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anomalijos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>.</w:t>
      </w:r>
    </w:p>
    <w:p w14:paraId="70E85EB1" w14:textId="77777777" w:rsidR="00F86CF2" w:rsidRDefault="00F86CF2" w:rsidP="00F86CF2">
      <w:pPr>
        <w:spacing w:line="198" w:lineRule="exact"/>
        <w:rPr>
          <w:sz w:val="20"/>
          <w:szCs w:val="20"/>
        </w:rPr>
      </w:pPr>
    </w:p>
    <w:p w14:paraId="1D85AA08" w14:textId="77777777" w:rsidR="00F86CF2" w:rsidRDefault="00F86CF2" w:rsidP="00F86CF2">
      <w:pPr>
        <w:spacing w:line="278" w:lineRule="auto"/>
        <w:ind w:left="2" w:right="406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esate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moteris</w:t>
      </w:r>
      <w:proofErr w:type="spellEnd"/>
      <w:r>
        <w:rPr>
          <w:rFonts w:eastAsia="Times New Roman"/>
          <w:sz w:val="21"/>
          <w:szCs w:val="21"/>
        </w:rPr>
        <w:t xml:space="preserve">, tai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pradedant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privalote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pateikti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neigiamą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nėštumo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testą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laikytis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nurodymų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kontracepcijos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Norėdamas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užtikrinti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pradedant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tikrai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nėščia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paprašyti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atlikti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vieną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testą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BD8C6F4" w14:textId="77777777" w:rsidR="00F86CF2" w:rsidRDefault="00F86CF2" w:rsidP="00F86CF2">
      <w:pPr>
        <w:sectPr w:rsidR="00F86CF2">
          <w:pgSz w:w="11900" w:h="16841"/>
          <w:pgMar w:top="1103" w:right="1440" w:bottom="203" w:left="1418" w:header="0" w:footer="0" w:gutter="0"/>
          <w:cols w:space="720" w:equalWidth="0">
            <w:col w:w="9048"/>
          </w:cols>
        </w:sectPr>
      </w:pPr>
    </w:p>
    <w:p w14:paraId="36555482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0297DF37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175AE83F" w14:textId="77777777" w:rsidR="00F86CF2" w:rsidRDefault="00F86CF2" w:rsidP="00F86CF2">
      <w:pPr>
        <w:spacing w:line="256" w:lineRule="exact"/>
        <w:rPr>
          <w:sz w:val="20"/>
          <w:szCs w:val="20"/>
        </w:rPr>
      </w:pPr>
    </w:p>
    <w:p w14:paraId="158C7343" w14:textId="77777777" w:rsidR="00F86CF2" w:rsidRDefault="00F86CF2" w:rsidP="00F86CF2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105</w:t>
      </w:r>
    </w:p>
    <w:p w14:paraId="482E8890" w14:textId="77777777" w:rsidR="00F86CF2" w:rsidRDefault="00F86CF2" w:rsidP="00F86CF2">
      <w:pPr>
        <w:sectPr w:rsidR="00F86CF2">
          <w:type w:val="continuous"/>
          <w:pgSz w:w="11900" w:h="16841"/>
          <w:pgMar w:top="1103" w:right="1440" w:bottom="203" w:left="1418" w:header="0" w:footer="0" w:gutter="0"/>
          <w:cols w:space="720" w:equalWidth="0">
            <w:col w:w="9048"/>
          </w:cols>
        </w:sectPr>
      </w:pPr>
    </w:p>
    <w:p w14:paraId="3C39D122" w14:textId="77777777" w:rsidR="00F86CF2" w:rsidRDefault="00F86CF2" w:rsidP="00F86CF2">
      <w:pPr>
        <w:ind w:left="2"/>
        <w:rPr>
          <w:sz w:val="20"/>
          <w:szCs w:val="20"/>
        </w:rPr>
      </w:pPr>
      <w:bookmarkStart w:id="3" w:name="page106"/>
      <w:bookmarkEnd w:id="3"/>
      <w:proofErr w:type="spellStart"/>
      <w:r>
        <w:rPr>
          <w:rFonts w:eastAsia="Times New Roman"/>
          <w:b/>
          <w:bCs/>
        </w:rPr>
        <w:lastRenderedPageBreak/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1118D082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nevartokite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patekti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motinos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pieną</w:t>
      </w:r>
      <w:proofErr w:type="spellEnd"/>
      <w:r>
        <w:rPr>
          <w:rFonts w:eastAsia="Times New Roman"/>
        </w:rPr>
        <w:t>.</w:t>
      </w:r>
    </w:p>
    <w:p w14:paraId="0003C5D3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2BC8E4C7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54FD77D1" w14:textId="77777777" w:rsidR="00F86CF2" w:rsidRDefault="00F86CF2" w:rsidP="00F86CF2">
      <w:pPr>
        <w:spacing w:line="260" w:lineRule="auto"/>
        <w:ind w:left="2" w:right="306"/>
        <w:rPr>
          <w:sz w:val="20"/>
          <w:szCs w:val="20"/>
        </w:rPr>
      </w:pP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vidutiniškai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jaučiate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mieguistumą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nutirpimą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sumišimą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nevairuokite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nevaldykite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nepasijausite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geriau</w:t>
      </w:r>
      <w:proofErr w:type="spellEnd"/>
      <w:r>
        <w:rPr>
          <w:rFonts w:eastAsia="Times New Roman"/>
        </w:rPr>
        <w:t>.</w:t>
      </w:r>
    </w:p>
    <w:p w14:paraId="1AEA6635" w14:textId="77777777" w:rsidR="00F86CF2" w:rsidRDefault="00F86CF2" w:rsidP="00F86CF2">
      <w:pPr>
        <w:spacing w:line="192" w:lineRule="exact"/>
        <w:rPr>
          <w:sz w:val="20"/>
          <w:szCs w:val="20"/>
        </w:rPr>
      </w:pPr>
    </w:p>
    <w:p w14:paraId="2D5FAFCF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Šio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vaisto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kapsulėje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yra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mažiau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kaip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1 mmol (23 mg) </w:t>
      </w:r>
      <w:proofErr w:type="spellStart"/>
      <w:r>
        <w:rPr>
          <w:rFonts w:eastAsia="Times New Roman"/>
          <w:b/>
          <w:bCs/>
          <w:sz w:val="21"/>
          <w:szCs w:val="21"/>
        </w:rPr>
        <w:t>natrio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, </w:t>
      </w:r>
      <w:proofErr w:type="spellStart"/>
      <w:r>
        <w:rPr>
          <w:rFonts w:eastAsia="Times New Roman"/>
          <w:b/>
          <w:bCs/>
          <w:sz w:val="21"/>
          <w:szCs w:val="21"/>
        </w:rPr>
        <w:t>taigi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, </w:t>
      </w:r>
      <w:proofErr w:type="spellStart"/>
      <w:r>
        <w:rPr>
          <w:rFonts w:eastAsia="Times New Roman"/>
          <w:b/>
          <w:bCs/>
          <w:sz w:val="21"/>
          <w:szCs w:val="21"/>
        </w:rPr>
        <w:t>joje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“</w:t>
      </w:r>
      <w:proofErr w:type="spellStart"/>
      <w:r>
        <w:rPr>
          <w:rFonts w:eastAsia="Times New Roman"/>
          <w:b/>
          <w:bCs/>
          <w:sz w:val="21"/>
          <w:szCs w:val="21"/>
        </w:rPr>
        <w:t>natrio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praktiškai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nėra</w:t>
      </w:r>
      <w:proofErr w:type="spellEnd"/>
      <w:r>
        <w:rPr>
          <w:rFonts w:eastAsia="Times New Roman"/>
          <w:b/>
          <w:bCs/>
          <w:sz w:val="21"/>
          <w:szCs w:val="21"/>
        </w:rPr>
        <w:t>”.</w:t>
      </w:r>
    </w:p>
    <w:p w14:paraId="4AE866A6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50B6CEF6" w14:textId="77777777" w:rsidR="00F86CF2" w:rsidRDefault="00F86CF2" w:rsidP="00F86CF2">
      <w:pPr>
        <w:spacing w:line="317" w:lineRule="exact"/>
        <w:rPr>
          <w:sz w:val="20"/>
          <w:szCs w:val="20"/>
        </w:rPr>
      </w:pPr>
    </w:p>
    <w:p w14:paraId="102E9959" w14:textId="77777777" w:rsidR="00F86CF2" w:rsidRDefault="00F86CF2" w:rsidP="00F86CF2">
      <w:pPr>
        <w:numPr>
          <w:ilvl w:val="0"/>
          <w:numId w:val="16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CellCept</w:t>
      </w:r>
      <w:proofErr w:type="spellEnd"/>
    </w:p>
    <w:p w14:paraId="66BDA6F9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14BB8EC7" w14:textId="77777777" w:rsidR="00F86CF2" w:rsidRDefault="00F86CF2" w:rsidP="00F86CF2">
      <w:pPr>
        <w:spacing w:line="279" w:lineRule="auto"/>
        <w:ind w:left="2" w:right="306"/>
        <w:rPr>
          <w:sz w:val="20"/>
          <w:szCs w:val="20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7A61267B" w14:textId="77777777" w:rsidR="00F86CF2" w:rsidRDefault="00F86CF2" w:rsidP="00F86CF2">
      <w:pPr>
        <w:spacing w:line="169" w:lineRule="exact"/>
        <w:rPr>
          <w:sz w:val="20"/>
          <w:szCs w:val="20"/>
        </w:rPr>
      </w:pPr>
    </w:p>
    <w:p w14:paraId="7C0E33BE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Kiek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</w:p>
    <w:p w14:paraId="47E3F1FD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priklauso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to, </w:t>
      </w:r>
      <w:proofErr w:type="spellStart"/>
      <w:r>
        <w:rPr>
          <w:rFonts w:eastAsia="Times New Roman"/>
        </w:rPr>
        <w:t>koks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persodintas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Įprastos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išdėstytos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žemiau</w:t>
      </w:r>
      <w:proofErr w:type="spellEnd"/>
      <w:r>
        <w:rPr>
          <w:rFonts w:eastAsia="Times New Roman"/>
        </w:rPr>
        <w:t>.</w:t>
      </w:r>
    </w:p>
    <w:p w14:paraId="0EC75B64" w14:textId="77777777" w:rsidR="00F86CF2" w:rsidRDefault="00F86CF2" w:rsidP="00F86CF2">
      <w:pPr>
        <w:spacing w:line="1" w:lineRule="exact"/>
        <w:rPr>
          <w:sz w:val="20"/>
          <w:szCs w:val="20"/>
        </w:rPr>
      </w:pPr>
    </w:p>
    <w:p w14:paraId="1109D510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tęsiamas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persodinto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atmetimo</w:t>
      </w:r>
      <w:proofErr w:type="spellEnd"/>
      <w:r>
        <w:rPr>
          <w:rFonts w:eastAsia="Times New Roman"/>
        </w:rPr>
        <w:t>.</w:t>
      </w:r>
    </w:p>
    <w:p w14:paraId="413F7019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39BC4C25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Persodinus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inkstą</w:t>
      </w:r>
      <w:proofErr w:type="spellEnd"/>
    </w:p>
    <w:p w14:paraId="07C1F1D9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Suaugusiesiems</w:t>
      </w:r>
      <w:proofErr w:type="spellEnd"/>
    </w:p>
    <w:p w14:paraId="3667D378" w14:textId="77777777" w:rsidR="00F86CF2" w:rsidRDefault="00F86CF2" w:rsidP="00F86CF2">
      <w:pPr>
        <w:spacing w:line="16" w:lineRule="exact"/>
        <w:rPr>
          <w:sz w:val="20"/>
          <w:szCs w:val="20"/>
        </w:rPr>
      </w:pPr>
    </w:p>
    <w:p w14:paraId="482880EE" w14:textId="77777777" w:rsidR="00F86CF2" w:rsidRDefault="00F86CF2" w:rsidP="00F86CF2">
      <w:pPr>
        <w:numPr>
          <w:ilvl w:val="0"/>
          <w:numId w:val="17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Pirmoji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paskiriama</w:t>
      </w:r>
      <w:proofErr w:type="spellEnd"/>
      <w:r>
        <w:rPr>
          <w:rFonts w:eastAsia="Times New Roman"/>
        </w:rPr>
        <w:t xml:space="preserve"> per 3 paras po </w:t>
      </w:r>
      <w:proofErr w:type="spellStart"/>
      <w:r>
        <w:rPr>
          <w:rFonts w:eastAsia="Times New Roman"/>
        </w:rPr>
        <w:t>inksto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persodinimo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operacijos</w:t>
      </w:r>
      <w:proofErr w:type="spellEnd"/>
      <w:r>
        <w:rPr>
          <w:rFonts w:eastAsia="Times New Roman"/>
        </w:rPr>
        <w:t>;</w:t>
      </w:r>
      <w:proofErr w:type="gramEnd"/>
    </w:p>
    <w:p w14:paraId="54E6F83C" w14:textId="77777777" w:rsidR="00F86CF2" w:rsidRDefault="00F86CF2" w:rsidP="00F86CF2">
      <w:pPr>
        <w:spacing w:line="17" w:lineRule="exact"/>
        <w:rPr>
          <w:rFonts w:ascii="Arial" w:eastAsia="Arial" w:hAnsi="Arial" w:cs="Arial"/>
        </w:rPr>
      </w:pPr>
    </w:p>
    <w:p w14:paraId="3BCE0477" w14:textId="77777777" w:rsidR="00F86CF2" w:rsidRDefault="00F86CF2" w:rsidP="00F86CF2">
      <w:pPr>
        <w:numPr>
          <w:ilvl w:val="0"/>
          <w:numId w:val="17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Paros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– 8 </w:t>
      </w:r>
      <w:proofErr w:type="spellStart"/>
      <w:r>
        <w:rPr>
          <w:rFonts w:eastAsia="Times New Roman"/>
        </w:rPr>
        <w:t>kapsulės</w:t>
      </w:r>
      <w:proofErr w:type="spellEnd"/>
      <w:r>
        <w:rPr>
          <w:rFonts w:eastAsia="Times New Roman"/>
        </w:rPr>
        <w:t xml:space="preserve"> (2 g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kurias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išgerti</w:t>
      </w:r>
      <w:proofErr w:type="spellEnd"/>
      <w:r>
        <w:rPr>
          <w:rFonts w:eastAsia="Times New Roman"/>
        </w:rPr>
        <w:t xml:space="preserve"> per 2 </w:t>
      </w:r>
      <w:proofErr w:type="spellStart"/>
      <w:proofErr w:type="gram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>;</w:t>
      </w:r>
      <w:proofErr w:type="gramEnd"/>
    </w:p>
    <w:p w14:paraId="698E2DEF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0E850876" w14:textId="77777777" w:rsidR="00F86CF2" w:rsidRDefault="00F86CF2" w:rsidP="00F86CF2">
      <w:pPr>
        <w:numPr>
          <w:ilvl w:val="0"/>
          <w:numId w:val="17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4 </w:t>
      </w:r>
      <w:proofErr w:type="spellStart"/>
      <w:r>
        <w:rPr>
          <w:rFonts w:eastAsia="Times New Roman"/>
        </w:rPr>
        <w:t>kapsules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išgerkite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ryte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kapsules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vakare</w:t>
      </w:r>
      <w:proofErr w:type="spellEnd"/>
      <w:r>
        <w:rPr>
          <w:rFonts w:eastAsia="Times New Roman"/>
        </w:rPr>
        <w:t>.</w:t>
      </w:r>
    </w:p>
    <w:p w14:paraId="20A25A28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0F69685B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18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>)</w:t>
      </w:r>
    </w:p>
    <w:p w14:paraId="59D52AE5" w14:textId="77777777" w:rsidR="00F86CF2" w:rsidRDefault="00F86CF2" w:rsidP="00F86CF2">
      <w:pPr>
        <w:spacing w:line="16" w:lineRule="exact"/>
        <w:rPr>
          <w:sz w:val="20"/>
          <w:szCs w:val="20"/>
        </w:rPr>
      </w:pPr>
    </w:p>
    <w:p w14:paraId="61DB8A1A" w14:textId="77777777" w:rsidR="00F86CF2" w:rsidRDefault="00F86CF2" w:rsidP="00F86CF2">
      <w:pPr>
        <w:numPr>
          <w:ilvl w:val="0"/>
          <w:numId w:val="18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Skiriama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priklausys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didumo</w:t>
      </w:r>
      <w:proofErr w:type="spellEnd"/>
      <w:r>
        <w:rPr>
          <w:rFonts w:eastAsia="Times New Roman"/>
        </w:rPr>
        <w:t>;</w:t>
      </w:r>
      <w:proofErr w:type="gramEnd"/>
    </w:p>
    <w:p w14:paraId="3E4DEB66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4E4C8DBB" w14:textId="77777777" w:rsidR="00F86CF2" w:rsidRDefault="00F86CF2" w:rsidP="00F86CF2">
      <w:pPr>
        <w:numPr>
          <w:ilvl w:val="0"/>
          <w:numId w:val="18"/>
        </w:numPr>
        <w:tabs>
          <w:tab w:val="left" w:pos="568"/>
        </w:tabs>
        <w:spacing w:line="259" w:lineRule="auto"/>
        <w:ind w:left="2" w:right="366" w:hanging="1"/>
        <w:jc w:val="both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atsižvelgdamas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ūgį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svorį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matuojamas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kvadratiniais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metrais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„m2“), </w:t>
      </w:r>
      <w:proofErr w:type="spellStart"/>
      <w:r>
        <w:rPr>
          <w:rFonts w:eastAsia="Times New Roman"/>
        </w:rPr>
        <w:t>nuspręs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tinkamiausia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– po 600 mg/m2 du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>.</w:t>
      </w:r>
    </w:p>
    <w:p w14:paraId="69E62B6D" w14:textId="77777777" w:rsidR="00F86CF2" w:rsidRDefault="00F86CF2" w:rsidP="00F86CF2">
      <w:pPr>
        <w:spacing w:line="192" w:lineRule="exact"/>
        <w:rPr>
          <w:sz w:val="20"/>
          <w:szCs w:val="20"/>
        </w:rPr>
      </w:pPr>
    </w:p>
    <w:p w14:paraId="3E1CF566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Persodinus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širdį</w:t>
      </w:r>
      <w:proofErr w:type="spellEnd"/>
    </w:p>
    <w:p w14:paraId="77FF2D1B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Suaugusiesiems</w:t>
      </w:r>
      <w:proofErr w:type="spellEnd"/>
    </w:p>
    <w:p w14:paraId="137269F6" w14:textId="77777777" w:rsidR="00F86CF2" w:rsidRDefault="00F86CF2" w:rsidP="00F86CF2">
      <w:pPr>
        <w:spacing w:line="18" w:lineRule="exact"/>
        <w:rPr>
          <w:sz w:val="20"/>
          <w:szCs w:val="20"/>
        </w:rPr>
      </w:pPr>
    </w:p>
    <w:p w14:paraId="2757AD4E" w14:textId="77777777" w:rsidR="00F86CF2" w:rsidRDefault="00F86CF2" w:rsidP="00F86CF2">
      <w:pPr>
        <w:numPr>
          <w:ilvl w:val="0"/>
          <w:numId w:val="19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Pirmoji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paskiriama</w:t>
      </w:r>
      <w:proofErr w:type="spellEnd"/>
      <w:r>
        <w:rPr>
          <w:rFonts w:eastAsia="Times New Roman"/>
        </w:rPr>
        <w:t xml:space="preserve"> per 5 paras po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persodinimo</w:t>
      </w:r>
      <w:proofErr w:type="spellEnd"/>
      <w:r>
        <w:rPr>
          <w:rFonts w:eastAsia="Times New Roman"/>
        </w:rPr>
        <w:t>;</w:t>
      </w:r>
      <w:proofErr w:type="gramEnd"/>
    </w:p>
    <w:p w14:paraId="69A03FE2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43BFA3EF" w14:textId="77777777" w:rsidR="00F86CF2" w:rsidRDefault="00F86CF2" w:rsidP="00F86CF2">
      <w:pPr>
        <w:numPr>
          <w:ilvl w:val="0"/>
          <w:numId w:val="19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r>
        <w:rPr>
          <w:rFonts w:eastAsia="Times New Roman"/>
        </w:rPr>
        <w:t xml:space="preserve">Paros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– 12 </w:t>
      </w:r>
      <w:proofErr w:type="spellStart"/>
      <w:r>
        <w:rPr>
          <w:rFonts w:eastAsia="Times New Roman"/>
        </w:rPr>
        <w:t>kapsulių</w:t>
      </w:r>
      <w:proofErr w:type="spellEnd"/>
      <w:r>
        <w:rPr>
          <w:rFonts w:eastAsia="Times New Roman"/>
        </w:rPr>
        <w:t xml:space="preserve"> (3 g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kurias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išgerti</w:t>
      </w:r>
      <w:proofErr w:type="spellEnd"/>
      <w:r>
        <w:rPr>
          <w:rFonts w:eastAsia="Times New Roman"/>
        </w:rPr>
        <w:t xml:space="preserve"> per 2 </w:t>
      </w:r>
      <w:proofErr w:type="spellStart"/>
      <w:proofErr w:type="gram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>;</w:t>
      </w:r>
      <w:proofErr w:type="gramEnd"/>
    </w:p>
    <w:p w14:paraId="2A00D1B5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7C79C3F9" w14:textId="77777777" w:rsidR="00F86CF2" w:rsidRDefault="00F86CF2" w:rsidP="00F86CF2">
      <w:pPr>
        <w:numPr>
          <w:ilvl w:val="0"/>
          <w:numId w:val="19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r>
        <w:rPr>
          <w:rFonts w:eastAsia="Times New Roman"/>
        </w:rPr>
        <w:t xml:space="preserve">6 </w:t>
      </w:r>
      <w:proofErr w:type="spellStart"/>
      <w:r>
        <w:rPr>
          <w:rFonts w:eastAsia="Times New Roman"/>
        </w:rPr>
        <w:t>kapsules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išgerkite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ryte</w:t>
      </w:r>
      <w:proofErr w:type="spellEnd"/>
      <w:r>
        <w:rPr>
          <w:rFonts w:eastAsia="Times New Roman"/>
        </w:rPr>
        <w:t xml:space="preserve">, 6 </w:t>
      </w:r>
      <w:proofErr w:type="spellStart"/>
      <w:r>
        <w:rPr>
          <w:rFonts w:eastAsia="Times New Roman"/>
        </w:rPr>
        <w:t>kapsules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vakare</w:t>
      </w:r>
      <w:proofErr w:type="spellEnd"/>
      <w:r>
        <w:rPr>
          <w:rFonts w:eastAsia="Times New Roman"/>
        </w:rPr>
        <w:t>.</w:t>
      </w:r>
    </w:p>
    <w:p w14:paraId="666022A3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111DB8BC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Vaikams</w:t>
      </w:r>
      <w:proofErr w:type="spellEnd"/>
    </w:p>
    <w:p w14:paraId="3C44BEE4" w14:textId="77777777" w:rsidR="00F86CF2" w:rsidRDefault="00F86CF2" w:rsidP="00F86CF2">
      <w:pPr>
        <w:spacing w:line="18" w:lineRule="exact"/>
        <w:rPr>
          <w:sz w:val="20"/>
          <w:szCs w:val="20"/>
        </w:rPr>
      </w:pPr>
    </w:p>
    <w:p w14:paraId="345C0C51" w14:textId="77777777" w:rsidR="00F86CF2" w:rsidRDefault="00F86CF2" w:rsidP="00F86CF2">
      <w:pPr>
        <w:numPr>
          <w:ilvl w:val="0"/>
          <w:numId w:val="20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persodinta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duomenų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>.</w:t>
      </w:r>
    </w:p>
    <w:p w14:paraId="4A5150F3" w14:textId="77777777" w:rsidR="00F86CF2" w:rsidRDefault="00F86CF2" w:rsidP="00F86CF2">
      <w:pPr>
        <w:spacing w:line="251" w:lineRule="exact"/>
        <w:rPr>
          <w:sz w:val="20"/>
          <w:szCs w:val="20"/>
        </w:rPr>
      </w:pPr>
    </w:p>
    <w:p w14:paraId="2C9B45BB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Persodinus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kepenis</w:t>
      </w:r>
      <w:proofErr w:type="spellEnd"/>
    </w:p>
    <w:p w14:paraId="5BCEED66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Suaugusiesiems</w:t>
      </w:r>
      <w:proofErr w:type="spellEnd"/>
    </w:p>
    <w:p w14:paraId="2C76536C" w14:textId="77777777" w:rsidR="00F86CF2" w:rsidRDefault="00F86CF2" w:rsidP="00F86CF2">
      <w:pPr>
        <w:spacing w:line="16" w:lineRule="exact"/>
        <w:rPr>
          <w:sz w:val="20"/>
          <w:szCs w:val="20"/>
        </w:rPr>
      </w:pPr>
    </w:p>
    <w:p w14:paraId="526B2941" w14:textId="77777777" w:rsidR="00F86CF2" w:rsidRDefault="00F86CF2" w:rsidP="00F86CF2">
      <w:pPr>
        <w:numPr>
          <w:ilvl w:val="0"/>
          <w:numId w:val="21"/>
        </w:numPr>
        <w:tabs>
          <w:tab w:val="left" w:pos="568"/>
        </w:tabs>
        <w:spacing w:line="247" w:lineRule="auto"/>
        <w:ind w:left="2" w:right="36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Pirmoji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praėjus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mažiausiai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paroms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persodinimo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operacijos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jau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galėsite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nuryti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>;</w:t>
      </w:r>
      <w:proofErr w:type="gramEnd"/>
    </w:p>
    <w:p w14:paraId="741A8657" w14:textId="77777777" w:rsidR="00F86CF2" w:rsidRDefault="00F86CF2" w:rsidP="00F86CF2">
      <w:pPr>
        <w:spacing w:line="1" w:lineRule="exact"/>
        <w:rPr>
          <w:rFonts w:ascii="Arial" w:eastAsia="Arial" w:hAnsi="Arial" w:cs="Arial"/>
        </w:rPr>
      </w:pPr>
    </w:p>
    <w:p w14:paraId="38A0AEBE" w14:textId="77777777" w:rsidR="00F86CF2" w:rsidRDefault="00F86CF2" w:rsidP="00F86CF2">
      <w:pPr>
        <w:numPr>
          <w:ilvl w:val="0"/>
          <w:numId w:val="21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r>
        <w:rPr>
          <w:rFonts w:eastAsia="Times New Roman"/>
        </w:rPr>
        <w:t xml:space="preserve">Paros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– 12 </w:t>
      </w:r>
      <w:proofErr w:type="spellStart"/>
      <w:r>
        <w:rPr>
          <w:rFonts w:eastAsia="Times New Roman"/>
        </w:rPr>
        <w:t>kapsulių</w:t>
      </w:r>
      <w:proofErr w:type="spellEnd"/>
      <w:r>
        <w:rPr>
          <w:rFonts w:eastAsia="Times New Roman"/>
        </w:rPr>
        <w:t xml:space="preserve"> (3 g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kurias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išgerti</w:t>
      </w:r>
      <w:proofErr w:type="spellEnd"/>
      <w:r>
        <w:rPr>
          <w:rFonts w:eastAsia="Times New Roman"/>
        </w:rPr>
        <w:t xml:space="preserve"> per 2 </w:t>
      </w:r>
      <w:proofErr w:type="spellStart"/>
      <w:proofErr w:type="gram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>;</w:t>
      </w:r>
      <w:proofErr w:type="gramEnd"/>
    </w:p>
    <w:p w14:paraId="075C81AC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02E76460" w14:textId="77777777" w:rsidR="00F86CF2" w:rsidRDefault="00F86CF2" w:rsidP="00F86CF2">
      <w:pPr>
        <w:numPr>
          <w:ilvl w:val="0"/>
          <w:numId w:val="21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r>
        <w:rPr>
          <w:rFonts w:eastAsia="Times New Roman"/>
        </w:rPr>
        <w:t xml:space="preserve">6 </w:t>
      </w:r>
      <w:proofErr w:type="spellStart"/>
      <w:r>
        <w:rPr>
          <w:rFonts w:eastAsia="Times New Roman"/>
        </w:rPr>
        <w:t>kapsules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išgerkite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ryto</w:t>
      </w:r>
      <w:proofErr w:type="spellEnd"/>
      <w:r>
        <w:rPr>
          <w:rFonts w:eastAsia="Times New Roman"/>
        </w:rPr>
        <w:t xml:space="preserve">, 6 </w:t>
      </w:r>
      <w:proofErr w:type="spellStart"/>
      <w:r>
        <w:rPr>
          <w:rFonts w:eastAsia="Times New Roman"/>
        </w:rPr>
        <w:t>kapsules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vakare</w:t>
      </w:r>
      <w:proofErr w:type="spellEnd"/>
      <w:r>
        <w:rPr>
          <w:rFonts w:eastAsia="Times New Roman"/>
        </w:rPr>
        <w:t>.</w:t>
      </w:r>
    </w:p>
    <w:p w14:paraId="020275E5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33717C74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Vaikams</w:t>
      </w:r>
      <w:proofErr w:type="spellEnd"/>
    </w:p>
    <w:p w14:paraId="23C049B3" w14:textId="77777777" w:rsidR="00F86CF2" w:rsidRDefault="00F86CF2" w:rsidP="00F86CF2">
      <w:pPr>
        <w:spacing w:line="16" w:lineRule="exact"/>
        <w:rPr>
          <w:sz w:val="20"/>
          <w:szCs w:val="20"/>
        </w:rPr>
      </w:pPr>
    </w:p>
    <w:p w14:paraId="22D828E1" w14:textId="77777777" w:rsidR="00F86CF2" w:rsidRDefault="00F86CF2" w:rsidP="00F86CF2">
      <w:pPr>
        <w:numPr>
          <w:ilvl w:val="0"/>
          <w:numId w:val="22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persodintos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duomenų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>.</w:t>
      </w:r>
    </w:p>
    <w:p w14:paraId="59A4F2D7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2804F74D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Vaisto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vartojimas</w:t>
      </w:r>
      <w:proofErr w:type="spellEnd"/>
    </w:p>
    <w:p w14:paraId="61900C9A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Nurykite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nekramtytas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kapsules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užsigerdami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stikline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>.</w:t>
      </w:r>
    </w:p>
    <w:p w14:paraId="6E4062A8" w14:textId="77777777" w:rsidR="00F86CF2" w:rsidRDefault="00F86CF2" w:rsidP="00F86CF2">
      <w:pPr>
        <w:spacing w:line="18" w:lineRule="exact"/>
        <w:rPr>
          <w:sz w:val="20"/>
          <w:szCs w:val="20"/>
        </w:rPr>
      </w:pPr>
    </w:p>
    <w:p w14:paraId="3715CAC2" w14:textId="77777777" w:rsidR="00F86CF2" w:rsidRDefault="00F86CF2" w:rsidP="00F86CF2">
      <w:pPr>
        <w:numPr>
          <w:ilvl w:val="0"/>
          <w:numId w:val="23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Nelaužykite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netraiškykite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>.</w:t>
      </w:r>
    </w:p>
    <w:p w14:paraId="5A10348A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3ABC7796" w14:textId="77777777" w:rsidR="00F86CF2" w:rsidRDefault="00F86CF2" w:rsidP="00F86CF2">
      <w:pPr>
        <w:numPr>
          <w:ilvl w:val="0"/>
          <w:numId w:val="23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Negerkite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sulūžusių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įskilusių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kapsulių</w:t>
      </w:r>
      <w:proofErr w:type="spellEnd"/>
      <w:r>
        <w:rPr>
          <w:rFonts w:eastAsia="Times New Roman"/>
        </w:rPr>
        <w:t>.</w:t>
      </w:r>
    </w:p>
    <w:p w14:paraId="6B448D15" w14:textId="77777777" w:rsidR="00F86CF2" w:rsidRDefault="00F86CF2" w:rsidP="00F86CF2">
      <w:pPr>
        <w:sectPr w:rsidR="00F86CF2">
          <w:pgSz w:w="11900" w:h="16841"/>
          <w:pgMar w:top="1103" w:right="1440" w:bottom="203" w:left="1418" w:header="0" w:footer="0" w:gutter="0"/>
          <w:cols w:space="720" w:equalWidth="0">
            <w:col w:w="9048"/>
          </w:cols>
        </w:sectPr>
      </w:pPr>
    </w:p>
    <w:p w14:paraId="3FE5456E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59A56EE4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3A9C0A2E" w14:textId="77777777" w:rsidR="00F86CF2" w:rsidRDefault="00F86CF2" w:rsidP="00F86CF2">
      <w:pPr>
        <w:spacing w:line="236" w:lineRule="exact"/>
        <w:rPr>
          <w:sz w:val="20"/>
          <w:szCs w:val="20"/>
        </w:rPr>
      </w:pPr>
    </w:p>
    <w:p w14:paraId="0F3F4907" w14:textId="77777777" w:rsidR="00F86CF2" w:rsidRDefault="00F86CF2" w:rsidP="00F86CF2">
      <w:pPr>
        <w:ind w:right="-1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106</w:t>
      </w:r>
    </w:p>
    <w:p w14:paraId="09E13B82" w14:textId="77777777" w:rsidR="00F86CF2" w:rsidRDefault="00F86CF2" w:rsidP="00F86CF2">
      <w:pPr>
        <w:sectPr w:rsidR="00F86CF2">
          <w:type w:val="continuous"/>
          <w:pgSz w:w="11900" w:h="16841"/>
          <w:pgMar w:top="1103" w:right="1440" w:bottom="203" w:left="1418" w:header="0" w:footer="0" w:gutter="0"/>
          <w:cols w:space="720" w:equalWidth="0">
            <w:col w:w="9048"/>
          </w:cols>
        </w:sectPr>
      </w:pPr>
    </w:p>
    <w:p w14:paraId="20B492EA" w14:textId="77777777" w:rsidR="00F86CF2" w:rsidRDefault="00F86CF2" w:rsidP="00F86CF2">
      <w:pPr>
        <w:ind w:left="2"/>
        <w:rPr>
          <w:sz w:val="20"/>
          <w:szCs w:val="20"/>
        </w:rPr>
      </w:pPr>
      <w:bookmarkStart w:id="4" w:name="page107"/>
      <w:bookmarkEnd w:id="4"/>
      <w:proofErr w:type="spellStart"/>
      <w:r>
        <w:rPr>
          <w:rFonts w:eastAsia="Times New Roman"/>
        </w:rPr>
        <w:lastRenderedPageBreak/>
        <w:t>Saugokitės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sulūžusių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kapsulių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išsipylę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nepatektų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akis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burną</w:t>
      </w:r>
      <w:proofErr w:type="spellEnd"/>
      <w:r>
        <w:rPr>
          <w:rFonts w:eastAsia="Times New Roman"/>
        </w:rPr>
        <w:t>.</w:t>
      </w:r>
    </w:p>
    <w:p w14:paraId="4A74E6AF" w14:textId="77777777" w:rsidR="00F86CF2" w:rsidRDefault="00F86CF2" w:rsidP="00F86CF2">
      <w:pPr>
        <w:spacing w:line="18" w:lineRule="exact"/>
        <w:rPr>
          <w:sz w:val="20"/>
          <w:szCs w:val="20"/>
        </w:rPr>
      </w:pPr>
    </w:p>
    <w:p w14:paraId="01C2B2F3" w14:textId="77777777" w:rsidR="00F86CF2" w:rsidRDefault="00F86CF2" w:rsidP="00F86CF2">
      <w:pPr>
        <w:numPr>
          <w:ilvl w:val="0"/>
          <w:numId w:val="24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nutiktų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praplaukite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grynu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vandeniu</w:t>
      </w:r>
      <w:proofErr w:type="spellEnd"/>
      <w:r>
        <w:rPr>
          <w:rFonts w:eastAsia="Times New Roman"/>
        </w:rPr>
        <w:t>.</w:t>
      </w:r>
    </w:p>
    <w:p w14:paraId="2557D2EB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35435585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Saugokitės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sulūžusių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kapsulių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išsipylę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nepatektų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>.</w:t>
      </w:r>
    </w:p>
    <w:p w14:paraId="7334991E" w14:textId="77777777" w:rsidR="00F86CF2" w:rsidRDefault="00F86CF2" w:rsidP="00F86CF2">
      <w:pPr>
        <w:spacing w:line="16" w:lineRule="exact"/>
        <w:rPr>
          <w:sz w:val="20"/>
          <w:szCs w:val="20"/>
        </w:rPr>
      </w:pPr>
    </w:p>
    <w:p w14:paraId="43E310E1" w14:textId="77777777" w:rsidR="00F86CF2" w:rsidRDefault="00F86CF2" w:rsidP="00F86CF2">
      <w:pPr>
        <w:numPr>
          <w:ilvl w:val="0"/>
          <w:numId w:val="25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nutiktų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kruopščiai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nuplaukite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muilu</w:t>
      </w:r>
      <w:proofErr w:type="spellEnd"/>
      <w:r>
        <w:rPr>
          <w:rFonts w:eastAsia="Times New Roman"/>
        </w:rPr>
        <w:t>.</w:t>
      </w:r>
    </w:p>
    <w:p w14:paraId="790B60AD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4488BDFD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CellCept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4CED778A" w14:textId="77777777" w:rsidR="00F86CF2" w:rsidRDefault="00F86CF2" w:rsidP="00F86CF2">
      <w:pPr>
        <w:spacing w:line="260" w:lineRule="auto"/>
        <w:ind w:left="2" w:right="8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išgėrėte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kapsulių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tiesiai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ligoninę</w:t>
      </w:r>
      <w:proofErr w:type="spellEnd"/>
      <w:r>
        <w:rPr>
          <w:rFonts w:eastAsia="Times New Roman"/>
        </w:rPr>
        <w:t xml:space="preserve">. Be to,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darykite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kas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atsitiktinai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išgėrė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pakuotę</w:t>
      </w:r>
      <w:proofErr w:type="spellEnd"/>
      <w:r>
        <w:rPr>
          <w:rFonts w:eastAsia="Times New Roman"/>
        </w:rPr>
        <w:t>.</w:t>
      </w:r>
    </w:p>
    <w:p w14:paraId="4D0FC0CC" w14:textId="77777777" w:rsidR="00F86CF2" w:rsidRDefault="00F86CF2" w:rsidP="00F86CF2">
      <w:pPr>
        <w:spacing w:line="190" w:lineRule="exact"/>
        <w:rPr>
          <w:sz w:val="20"/>
          <w:szCs w:val="20"/>
        </w:rPr>
      </w:pPr>
    </w:p>
    <w:p w14:paraId="70643FE0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CellCept</w:t>
      </w:r>
      <w:proofErr w:type="spellEnd"/>
    </w:p>
    <w:p w14:paraId="50F3788C" w14:textId="77777777" w:rsidR="00F86CF2" w:rsidRDefault="00F86CF2" w:rsidP="00F86CF2">
      <w:pPr>
        <w:spacing w:line="281" w:lineRule="auto"/>
        <w:ind w:left="2" w:right="26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pamiršote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išgerti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išgerkite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tuoj</w:t>
      </w:r>
      <w:proofErr w:type="spellEnd"/>
      <w:r>
        <w:rPr>
          <w:rFonts w:eastAsia="Times New Roman"/>
        </w:rPr>
        <w:t xml:space="preserve"> pat, kai tik </w:t>
      </w:r>
      <w:proofErr w:type="spellStart"/>
      <w:r>
        <w:rPr>
          <w:rFonts w:eastAsia="Times New Roman"/>
        </w:rPr>
        <w:t>prisiminsite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Paskui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dvigubos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kompensuoti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27647C96" w14:textId="77777777" w:rsidR="00F86CF2" w:rsidRDefault="00F86CF2" w:rsidP="00F86CF2">
      <w:pPr>
        <w:spacing w:line="167" w:lineRule="exact"/>
        <w:rPr>
          <w:sz w:val="20"/>
          <w:szCs w:val="20"/>
        </w:rPr>
      </w:pPr>
    </w:p>
    <w:p w14:paraId="550C4548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Nustojus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CellCept</w:t>
      </w:r>
      <w:proofErr w:type="spellEnd"/>
    </w:p>
    <w:p w14:paraId="52CABD3D" w14:textId="77777777" w:rsidR="00F86CF2" w:rsidRDefault="00F86CF2" w:rsidP="00F86CF2">
      <w:pPr>
        <w:spacing w:line="279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Nenustokite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nenurodys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nutrauksite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persodinto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atmetimo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tikimybė</w:t>
      </w:r>
      <w:proofErr w:type="spellEnd"/>
      <w:r>
        <w:rPr>
          <w:rFonts w:eastAsia="Times New Roman"/>
        </w:rPr>
        <w:t>.</w:t>
      </w:r>
    </w:p>
    <w:p w14:paraId="46CA9E15" w14:textId="77777777" w:rsidR="00F86CF2" w:rsidRDefault="00F86CF2" w:rsidP="00F86CF2">
      <w:pPr>
        <w:spacing w:line="170" w:lineRule="exact"/>
        <w:rPr>
          <w:sz w:val="20"/>
          <w:szCs w:val="20"/>
        </w:rPr>
      </w:pPr>
    </w:p>
    <w:p w14:paraId="661F6C0F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5E8172E2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27213679" w14:textId="77777777" w:rsidR="00F86CF2" w:rsidRDefault="00F86CF2" w:rsidP="00F86CF2">
      <w:pPr>
        <w:spacing w:line="307" w:lineRule="exact"/>
        <w:rPr>
          <w:sz w:val="20"/>
          <w:szCs w:val="20"/>
        </w:rPr>
      </w:pPr>
    </w:p>
    <w:p w14:paraId="403388CA" w14:textId="77777777" w:rsidR="00F86CF2" w:rsidRDefault="00F86CF2" w:rsidP="00F86CF2">
      <w:pPr>
        <w:numPr>
          <w:ilvl w:val="0"/>
          <w:numId w:val="26"/>
        </w:numPr>
        <w:tabs>
          <w:tab w:val="left" w:pos="562"/>
        </w:tabs>
        <w:ind w:left="562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14137624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49A804DD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4DCF7E8E" w14:textId="77777777" w:rsidR="00F86CF2" w:rsidRDefault="00F86CF2" w:rsidP="00F86CF2">
      <w:pPr>
        <w:spacing w:line="255" w:lineRule="exact"/>
        <w:rPr>
          <w:sz w:val="20"/>
          <w:szCs w:val="20"/>
        </w:rPr>
      </w:pPr>
    </w:p>
    <w:p w14:paraId="2C36F97C" w14:textId="77777777" w:rsidR="00F86CF2" w:rsidRDefault="00F86CF2" w:rsidP="00F86CF2">
      <w:pPr>
        <w:spacing w:line="247" w:lineRule="auto"/>
        <w:ind w:left="2" w:right="3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Pastebėję</w:t>
      </w:r>
      <w:proofErr w:type="spellEnd"/>
      <w:r>
        <w:rPr>
          <w:rFonts w:eastAsia="Times New Roman"/>
          <w:b/>
          <w:bCs/>
        </w:rPr>
        <w:t xml:space="preserve"> bet </w:t>
      </w:r>
      <w:proofErr w:type="spellStart"/>
      <w:r>
        <w:rPr>
          <w:rFonts w:eastAsia="Times New Roman"/>
          <w:b/>
          <w:bCs/>
        </w:rPr>
        <w:t>kurį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sunkių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poveikių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nedelsdami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pasakykite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savo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prireikti</w:t>
      </w:r>
      <w:proofErr w:type="spellEnd"/>
      <w:r>
        <w:rPr>
          <w:rFonts w:eastAsia="Times New Roman"/>
          <w:b/>
          <w:bCs/>
        </w:rPr>
        <w:t xml:space="preserve"> Jus </w:t>
      </w:r>
      <w:proofErr w:type="spellStart"/>
      <w:r>
        <w:rPr>
          <w:rFonts w:eastAsia="Times New Roman"/>
          <w:b/>
          <w:bCs/>
        </w:rPr>
        <w:t>skubiai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gydyti</w:t>
      </w:r>
      <w:proofErr w:type="spellEnd"/>
      <w:r>
        <w:rPr>
          <w:rFonts w:eastAsia="Times New Roman"/>
          <w:b/>
          <w:bCs/>
        </w:rPr>
        <w:t>:</w:t>
      </w:r>
    </w:p>
    <w:p w14:paraId="540DD31A" w14:textId="77777777" w:rsidR="00F86CF2" w:rsidRDefault="00F86CF2" w:rsidP="00F86CF2">
      <w:pPr>
        <w:spacing w:line="1" w:lineRule="exact"/>
        <w:rPr>
          <w:sz w:val="20"/>
          <w:szCs w:val="20"/>
        </w:rPr>
      </w:pPr>
    </w:p>
    <w:p w14:paraId="31686A1B" w14:textId="77777777" w:rsidR="00F86CF2" w:rsidRDefault="00F86CF2" w:rsidP="00F86CF2">
      <w:pPr>
        <w:numPr>
          <w:ilvl w:val="0"/>
          <w:numId w:val="2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atsirado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0DBB6999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69CED99D" w14:textId="77777777" w:rsidR="00F86CF2" w:rsidRDefault="00F86CF2" w:rsidP="00F86CF2">
      <w:pPr>
        <w:numPr>
          <w:ilvl w:val="0"/>
          <w:numId w:val="2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netikėtai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mėlynių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>;</w:t>
      </w:r>
      <w:proofErr w:type="gramEnd"/>
    </w:p>
    <w:p w14:paraId="3F7F3D5E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0F62171E" w14:textId="77777777" w:rsidR="00F86CF2" w:rsidRDefault="00F86CF2" w:rsidP="00F86CF2">
      <w:pPr>
        <w:numPr>
          <w:ilvl w:val="0"/>
          <w:numId w:val="27"/>
        </w:numPr>
        <w:tabs>
          <w:tab w:val="left" w:pos="568"/>
        </w:tabs>
        <w:spacing w:line="280" w:lineRule="auto"/>
        <w:ind w:left="2" w:right="260" w:hanging="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atsirado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lūpų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liežuvio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pasunkinantis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anafilaksija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angioedema).</w:t>
      </w:r>
    </w:p>
    <w:p w14:paraId="411D96D1" w14:textId="77777777" w:rsidR="00F86CF2" w:rsidRDefault="00F86CF2" w:rsidP="00F86CF2">
      <w:pPr>
        <w:spacing w:line="168" w:lineRule="exact"/>
        <w:rPr>
          <w:sz w:val="20"/>
          <w:szCs w:val="20"/>
        </w:rPr>
      </w:pPr>
    </w:p>
    <w:p w14:paraId="272F9D41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Įprastas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68B08B78" w14:textId="77777777" w:rsidR="00F86CF2" w:rsidRDefault="00F86CF2" w:rsidP="00F86CF2">
      <w:pPr>
        <w:spacing w:line="245" w:lineRule="auto"/>
        <w:ind w:left="2" w:right="60"/>
        <w:rPr>
          <w:sz w:val="20"/>
          <w:szCs w:val="20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</w:t>
      </w:r>
      <w:proofErr w:type="spellEnd"/>
      <w:r>
        <w:rPr>
          <w:rFonts w:eastAsia="Times New Roman"/>
        </w:rPr>
        <w:t xml:space="preserve"> ų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raudonųjų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infekcinės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reguliariai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norėdamas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nuolat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stebėti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pokyčius</w:t>
      </w:r>
      <w:proofErr w:type="spellEnd"/>
      <w:r>
        <w:rPr>
          <w:rFonts w:eastAsia="Times New Roman"/>
        </w:rPr>
        <w:t>:</w:t>
      </w:r>
    </w:p>
    <w:p w14:paraId="57E37806" w14:textId="77777777" w:rsidR="00F86CF2" w:rsidRDefault="00F86CF2" w:rsidP="00F86CF2">
      <w:pPr>
        <w:numPr>
          <w:ilvl w:val="0"/>
          <w:numId w:val="28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>;</w:t>
      </w:r>
      <w:proofErr w:type="gramEnd"/>
    </w:p>
    <w:p w14:paraId="4C805A91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731F4517" w14:textId="77777777" w:rsidR="00F86CF2" w:rsidRDefault="00F86CF2" w:rsidP="00F86CF2">
      <w:pPr>
        <w:spacing w:line="279" w:lineRule="auto"/>
        <w:ind w:left="2" w:right="160"/>
        <w:rPr>
          <w:sz w:val="20"/>
          <w:szCs w:val="20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suaugusiesiems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infekcinės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>.</w:t>
      </w:r>
    </w:p>
    <w:p w14:paraId="11AA6A16" w14:textId="77777777" w:rsidR="00F86CF2" w:rsidRDefault="00F86CF2" w:rsidP="00F86CF2">
      <w:pPr>
        <w:spacing w:line="169" w:lineRule="exact"/>
        <w:rPr>
          <w:sz w:val="20"/>
          <w:szCs w:val="20"/>
        </w:rPr>
      </w:pPr>
    </w:p>
    <w:p w14:paraId="51B482AB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Kova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infekcijomis</w:t>
      </w:r>
      <w:proofErr w:type="spellEnd"/>
    </w:p>
    <w:p w14:paraId="1505A833" w14:textId="77777777" w:rsidR="00F86CF2" w:rsidRDefault="00F86CF2" w:rsidP="00F86CF2">
      <w:pPr>
        <w:spacing w:line="254" w:lineRule="auto"/>
        <w:ind w:left="2" w:right="140"/>
        <w:rPr>
          <w:sz w:val="20"/>
          <w:szCs w:val="20"/>
        </w:rPr>
      </w:pP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gebėjimus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reikalinga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stabdomas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persodinto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atmetimas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reiškia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ligomis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smegenų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>.</w:t>
      </w:r>
    </w:p>
    <w:p w14:paraId="15126A59" w14:textId="77777777" w:rsidR="00F86CF2" w:rsidRDefault="00F86CF2" w:rsidP="00F86CF2">
      <w:pPr>
        <w:spacing w:line="195" w:lineRule="exact"/>
        <w:rPr>
          <w:sz w:val="20"/>
          <w:szCs w:val="20"/>
        </w:rPr>
      </w:pPr>
    </w:p>
    <w:p w14:paraId="7E86862F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Limfos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odos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vėžys</w:t>
      </w:r>
      <w:proofErr w:type="spellEnd"/>
    </w:p>
    <w:p w14:paraId="09D6BF93" w14:textId="77777777" w:rsidR="00F86CF2" w:rsidRDefault="00F86CF2" w:rsidP="00F86CF2">
      <w:pPr>
        <w:spacing w:line="279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imunosupresantų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vartojantiems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limfoidinio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>.</w:t>
      </w:r>
    </w:p>
    <w:p w14:paraId="0E801FAE" w14:textId="77777777" w:rsidR="00F86CF2" w:rsidRDefault="00F86CF2" w:rsidP="00F86CF2">
      <w:pPr>
        <w:spacing w:line="169" w:lineRule="exact"/>
        <w:rPr>
          <w:sz w:val="20"/>
          <w:szCs w:val="20"/>
        </w:rPr>
      </w:pPr>
    </w:p>
    <w:p w14:paraId="644C0F4E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Bendrasis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nepageidaujamas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54F40CE9" w14:textId="77777777" w:rsidR="00F86CF2" w:rsidRDefault="00F86CF2" w:rsidP="00F86CF2">
      <w:pPr>
        <w:spacing w:line="254" w:lineRule="auto"/>
        <w:ind w:left="2" w:right="60"/>
        <w:rPr>
          <w:sz w:val="20"/>
          <w:szCs w:val="20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bendrieji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organizmui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anafilaksija</w:t>
      </w:r>
      <w:proofErr w:type="spellEnd"/>
      <w:r>
        <w:rPr>
          <w:rFonts w:eastAsia="Times New Roman"/>
        </w:rPr>
        <w:t xml:space="preserve">, angioedema),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didžiulio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sutrikęs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miegas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skausmai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krūtinę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sąnarius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raumenis</w:t>
      </w:r>
      <w:proofErr w:type="spellEnd"/>
      <w:r>
        <w:rPr>
          <w:rFonts w:eastAsia="Times New Roman"/>
        </w:rPr>
        <w:t xml:space="preserve">), 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gripo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>.</w:t>
      </w:r>
    </w:p>
    <w:p w14:paraId="31A01DDD" w14:textId="77777777" w:rsidR="00F86CF2" w:rsidRDefault="00F86CF2" w:rsidP="00F86CF2">
      <w:pPr>
        <w:sectPr w:rsidR="00F86CF2">
          <w:pgSz w:w="11900" w:h="16841"/>
          <w:pgMar w:top="1102" w:right="1426" w:bottom="203" w:left="1418" w:header="0" w:footer="0" w:gutter="0"/>
          <w:cols w:space="720" w:equalWidth="0">
            <w:col w:w="9062"/>
          </w:cols>
        </w:sectPr>
      </w:pPr>
    </w:p>
    <w:p w14:paraId="66A66B3E" w14:textId="77777777" w:rsidR="00F86CF2" w:rsidRDefault="00F86CF2" w:rsidP="00F86CF2">
      <w:pPr>
        <w:spacing w:line="222" w:lineRule="exact"/>
        <w:rPr>
          <w:sz w:val="20"/>
          <w:szCs w:val="20"/>
        </w:rPr>
      </w:pPr>
    </w:p>
    <w:p w14:paraId="196D2010" w14:textId="77777777" w:rsidR="00F86CF2" w:rsidRDefault="00F86CF2" w:rsidP="00F86CF2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107</w:t>
      </w:r>
    </w:p>
    <w:p w14:paraId="0A73C6EE" w14:textId="77777777" w:rsidR="00F86CF2" w:rsidRDefault="00F86CF2" w:rsidP="00F86CF2">
      <w:pPr>
        <w:sectPr w:rsidR="00F86CF2">
          <w:type w:val="continuous"/>
          <w:pgSz w:w="11900" w:h="16841"/>
          <w:pgMar w:top="1102" w:right="1426" w:bottom="203" w:left="1418" w:header="0" w:footer="0" w:gutter="0"/>
          <w:cols w:space="720" w:equalWidth="0">
            <w:col w:w="9062"/>
          </w:cols>
        </w:sectPr>
      </w:pPr>
    </w:p>
    <w:p w14:paraId="16A34605" w14:textId="77777777" w:rsidR="00F86CF2" w:rsidRDefault="00F86CF2" w:rsidP="00F86CF2">
      <w:pPr>
        <w:ind w:left="2"/>
        <w:rPr>
          <w:sz w:val="20"/>
          <w:szCs w:val="20"/>
        </w:rPr>
      </w:pPr>
      <w:bookmarkStart w:id="5" w:name="page108"/>
      <w:bookmarkEnd w:id="5"/>
      <w:proofErr w:type="spellStart"/>
      <w:r>
        <w:rPr>
          <w:rFonts w:eastAsia="Times New Roman"/>
        </w:rPr>
        <w:lastRenderedPageBreak/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nepageidaujamas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>:</w:t>
      </w:r>
    </w:p>
    <w:p w14:paraId="10C1F214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Odos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pažeidimai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>:</w:t>
      </w:r>
    </w:p>
    <w:p w14:paraId="7B70AEF2" w14:textId="77777777" w:rsidR="00F86CF2" w:rsidRDefault="00F86CF2" w:rsidP="00F86CF2">
      <w:pPr>
        <w:spacing w:line="22" w:lineRule="exact"/>
        <w:rPr>
          <w:sz w:val="20"/>
          <w:szCs w:val="20"/>
        </w:rPr>
      </w:pPr>
    </w:p>
    <w:p w14:paraId="2CF47745" w14:textId="77777777" w:rsidR="00F86CF2" w:rsidRDefault="00F86CF2" w:rsidP="00F86CF2">
      <w:pPr>
        <w:numPr>
          <w:ilvl w:val="0"/>
          <w:numId w:val="29"/>
        </w:numPr>
        <w:tabs>
          <w:tab w:val="left" w:pos="568"/>
        </w:tabs>
        <w:spacing w:line="278" w:lineRule="auto"/>
        <w:ind w:left="2" w:right="606" w:hanging="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spuogai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lūpų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pūslelinė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juosiančioji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pūslelinė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navikai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plaukų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slinkimas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niežėjimas</w:t>
      </w:r>
      <w:proofErr w:type="spellEnd"/>
      <w:r>
        <w:rPr>
          <w:rFonts w:eastAsia="Times New Roman"/>
        </w:rPr>
        <w:t>.</w:t>
      </w:r>
    </w:p>
    <w:p w14:paraId="3990678F" w14:textId="77777777" w:rsidR="00F86CF2" w:rsidRDefault="00F86CF2" w:rsidP="00F86CF2">
      <w:pPr>
        <w:spacing w:line="168" w:lineRule="exact"/>
        <w:rPr>
          <w:sz w:val="20"/>
          <w:szCs w:val="20"/>
        </w:rPr>
      </w:pPr>
    </w:p>
    <w:p w14:paraId="73E1BC73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Šlapimo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organų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>:</w:t>
      </w:r>
    </w:p>
    <w:p w14:paraId="3607905F" w14:textId="77777777" w:rsidR="00F86CF2" w:rsidRDefault="00F86CF2" w:rsidP="00F86CF2">
      <w:pPr>
        <w:spacing w:line="19" w:lineRule="exact"/>
        <w:rPr>
          <w:sz w:val="20"/>
          <w:szCs w:val="20"/>
        </w:rPr>
      </w:pPr>
    </w:p>
    <w:p w14:paraId="5B3A6B72" w14:textId="77777777" w:rsidR="00F86CF2" w:rsidRDefault="00F86CF2" w:rsidP="00F86CF2">
      <w:pPr>
        <w:numPr>
          <w:ilvl w:val="0"/>
          <w:numId w:val="30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šlapime</w:t>
      </w:r>
      <w:proofErr w:type="spellEnd"/>
      <w:r>
        <w:rPr>
          <w:rFonts w:eastAsia="Times New Roman"/>
        </w:rPr>
        <w:t>.</w:t>
      </w:r>
    </w:p>
    <w:p w14:paraId="6B38D392" w14:textId="77777777" w:rsidR="00F86CF2" w:rsidRDefault="00F86CF2" w:rsidP="00F86CF2">
      <w:pPr>
        <w:spacing w:line="249" w:lineRule="exact"/>
        <w:rPr>
          <w:sz w:val="20"/>
          <w:szCs w:val="20"/>
        </w:rPr>
      </w:pPr>
    </w:p>
    <w:p w14:paraId="7E197C19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Virškinimo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sistemos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burnos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veiklos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>:</w:t>
      </w:r>
    </w:p>
    <w:p w14:paraId="32BAD939" w14:textId="77777777" w:rsidR="00F86CF2" w:rsidRDefault="00F86CF2" w:rsidP="00F86CF2">
      <w:pPr>
        <w:spacing w:line="19" w:lineRule="exact"/>
        <w:rPr>
          <w:sz w:val="20"/>
          <w:szCs w:val="20"/>
        </w:rPr>
      </w:pPr>
    </w:p>
    <w:p w14:paraId="452C2936" w14:textId="77777777" w:rsidR="00F86CF2" w:rsidRDefault="00F86CF2" w:rsidP="00F86CF2">
      <w:pPr>
        <w:numPr>
          <w:ilvl w:val="0"/>
          <w:numId w:val="31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dantenų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pabrinkimas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opos</w:t>
      </w:r>
      <w:proofErr w:type="spellEnd"/>
      <w:r>
        <w:rPr>
          <w:rFonts w:eastAsia="Times New Roman"/>
        </w:rPr>
        <w:t>;</w:t>
      </w:r>
      <w:proofErr w:type="gramEnd"/>
    </w:p>
    <w:p w14:paraId="4A35DDB9" w14:textId="77777777" w:rsidR="00F86CF2" w:rsidRDefault="00F86CF2" w:rsidP="00F86CF2">
      <w:pPr>
        <w:spacing w:line="17" w:lineRule="exact"/>
        <w:rPr>
          <w:rFonts w:ascii="Arial" w:eastAsia="Arial" w:hAnsi="Arial" w:cs="Arial"/>
        </w:rPr>
      </w:pPr>
    </w:p>
    <w:p w14:paraId="0F87EBA2" w14:textId="77777777" w:rsidR="00F86CF2" w:rsidRDefault="00F86CF2" w:rsidP="00F86CF2">
      <w:pPr>
        <w:numPr>
          <w:ilvl w:val="0"/>
          <w:numId w:val="31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kasos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gaubtinės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>;</w:t>
      </w:r>
      <w:proofErr w:type="gramEnd"/>
    </w:p>
    <w:p w14:paraId="6C676F21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571F378D" w14:textId="77777777" w:rsidR="00F86CF2" w:rsidRDefault="00F86CF2" w:rsidP="00F86CF2">
      <w:pPr>
        <w:numPr>
          <w:ilvl w:val="0"/>
          <w:numId w:val="31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plonųjų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>;</w:t>
      </w:r>
      <w:proofErr w:type="gramEnd"/>
    </w:p>
    <w:p w14:paraId="63A31215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01F9A51F" w14:textId="77777777" w:rsidR="00F86CF2" w:rsidRDefault="00F86CF2" w:rsidP="00F86CF2">
      <w:pPr>
        <w:numPr>
          <w:ilvl w:val="0"/>
          <w:numId w:val="31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>;</w:t>
      </w:r>
      <w:proofErr w:type="gramEnd"/>
    </w:p>
    <w:p w14:paraId="6140428B" w14:textId="77777777" w:rsidR="00F86CF2" w:rsidRDefault="00F86CF2" w:rsidP="00F86CF2">
      <w:pPr>
        <w:spacing w:line="17" w:lineRule="exact"/>
        <w:rPr>
          <w:rFonts w:ascii="Arial" w:eastAsia="Arial" w:hAnsi="Arial" w:cs="Arial"/>
        </w:rPr>
      </w:pPr>
    </w:p>
    <w:p w14:paraId="7945B5BF" w14:textId="77777777" w:rsidR="00F86CF2" w:rsidRDefault="00F86CF2" w:rsidP="00F86CF2">
      <w:pPr>
        <w:numPr>
          <w:ilvl w:val="0"/>
          <w:numId w:val="31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viduriaimas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užkietėjimas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nevirškinimas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apetito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pūtimas</w:t>
      </w:r>
      <w:proofErr w:type="spellEnd"/>
      <w:r>
        <w:rPr>
          <w:rFonts w:eastAsia="Times New Roman"/>
        </w:rPr>
        <w:t>.</w:t>
      </w:r>
    </w:p>
    <w:p w14:paraId="025A5CC6" w14:textId="77777777" w:rsidR="00F86CF2" w:rsidRDefault="00F86CF2" w:rsidP="00F86CF2">
      <w:pPr>
        <w:spacing w:line="246" w:lineRule="exact"/>
        <w:rPr>
          <w:sz w:val="20"/>
          <w:szCs w:val="20"/>
        </w:rPr>
      </w:pPr>
    </w:p>
    <w:p w14:paraId="5FA5B91F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Nervų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sistemos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>:</w:t>
      </w:r>
    </w:p>
    <w:p w14:paraId="73BBC602" w14:textId="77777777" w:rsidR="00F86CF2" w:rsidRDefault="00F86CF2" w:rsidP="00F86CF2">
      <w:pPr>
        <w:spacing w:line="22" w:lineRule="exact"/>
        <w:rPr>
          <w:sz w:val="20"/>
          <w:szCs w:val="20"/>
        </w:rPr>
      </w:pPr>
    </w:p>
    <w:p w14:paraId="05A83337" w14:textId="77777777" w:rsidR="00F86CF2" w:rsidRDefault="00F86CF2" w:rsidP="00F86CF2">
      <w:pPr>
        <w:numPr>
          <w:ilvl w:val="0"/>
          <w:numId w:val="32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svaigulys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mieguistumas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tirpimas</w:t>
      </w:r>
      <w:proofErr w:type="spellEnd"/>
      <w:r>
        <w:rPr>
          <w:rFonts w:eastAsia="Times New Roman"/>
        </w:rPr>
        <w:t>;</w:t>
      </w:r>
      <w:proofErr w:type="gramEnd"/>
    </w:p>
    <w:p w14:paraId="20C17B75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39A9ED01" w14:textId="77777777" w:rsidR="00F86CF2" w:rsidRDefault="00F86CF2" w:rsidP="00F86CF2">
      <w:pPr>
        <w:numPr>
          <w:ilvl w:val="0"/>
          <w:numId w:val="32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drebulys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spazmai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traukuliai</w:t>
      </w:r>
      <w:proofErr w:type="spellEnd"/>
      <w:r>
        <w:rPr>
          <w:rFonts w:eastAsia="Times New Roman"/>
        </w:rPr>
        <w:t>;</w:t>
      </w:r>
      <w:proofErr w:type="gramEnd"/>
    </w:p>
    <w:p w14:paraId="46F60D5D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686B85FE" w14:textId="77777777" w:rsidR="00F86CF2" w:rsidRDefault="00F86CF2" w:rsidP="00F86CF2">
      <w:pPr>
        <w:numPr>
          <w:ilvl w:val="0"/>
          <w:numId w:val="32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nerimo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mąstymo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nuotaikos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>.</w:t>
      </w:r>
    </w:p>
    <w:p w14:paraId="00005FFB" w14:textId="77777777" w:rsidR="00F86CF2" w:rsidRDefault="00F86CF2" w:rsidP="00F86CF2">
      <w:pPr>
        <w:spacing w:line="249" w:lineRule="exact"/>
        <w:rPr>
          <w:sz w:val="20"/>
          <w:szCs w:val="20"/>
        </w:rPr>
      </w:pPr>
    </w:p>
    <w:p w14:paraId="296ED995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Širdies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kraujagyslių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>:</w:t>
      </w:r>
    </w:p>
    <w:p w14:paraId="1C9DE1DB" w14:textId="77777777" w:rsidR="00F86CF2" w:rsidRDefault="00F86CF2" w:rsidP="00F86CF2">
      <w:pPr>
        <w:spacing w:line="19" w:lineRule="exact"/>
        <w:rPr>
          <w:sz w:val="20"/>
          <w:szCs w:val="20"/>
        </w:rPr>
      </w:pPr>
    </w:p>
    <w:p w14:paraId="6FEE3CB6" w14:textId="77777777" w:rsidR="00F86CF2" w:rsidRDefault="00F86CF2" w:rsidP="00F86CF2">
      <w:pPr>
        <w:numPr>
          <w:ilvl w:val="0"/>
          <w:numId w:val="33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pagreitėjęs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išsiplėtimas</w:t>
      </w:r>
      <w:proofErr w:type="spellEnd"/>
      <w:r>
        <w:rPr>
          <w:rFonts w:eastAsia="Times New Roman"/>
        </w:rPr>
        <w:t>.</w:t>
      </w:r>
    </w:p>
    <w:p w14:paraId="219C0E20" w14:textId="77777777" w:rsidR="00F86CF2" w:rsidRDefault="00F86CF2" w:rsidP="00F86CF2">
      <w:pPr>
        <w:spacing w:line="249" w:lineRule="exact"/>
        <w:rPr>
          <w:sz w:val="20"/>
          <w:szCs w:val="20"/>
        </w:rPr>
      </w:pPr>
    </w:p>
    <w:p w14:paraId="7AD6ACC6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Plaučių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>:</w:t>
      </w:r>
    </w:p>
    <w:p w14:paraId="18AF2F41" w14:textId="77777777" w:rsidR="00F86CF2" w:rsidRDefault="00F86CF2" w:rsidP="00F86CF2">
      <w:pPr>
        <w:spacing w:line="22" w:lineRule="exact"/>
        <w:rPr>
          <w:sz w:val="20"/>
          <w:szCs w:val="20"/>
        </w:rPr>
      </w:pPr>
    </w:p>
    <w:p w14:paraId="13B485E4" w14:textId="77777777" w:rsidR="00F86CF2" w:rsidRDefault="00F86CF2" w:rsidP="00F86CF2">
      <w:pPr>
        <w:numPr>
          <w:ilvl w:val="0"/>
          <w:numId w:val="34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bronchitas</w:t>
      </w:r>
      <w:proofErr w:type="spellEnd"/>
      <w:r>
        <w:rPr>
          <w:rFonts w:eastAsia="Times New Roman"/>
        </w:rPr>
        <w:t>;</w:t>
      </w:r>
      <w:proofErr w:type="gramEnd"/>
    </w:p>
    <w:p w14:paraId="0F8134ED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6AD82B4E" w14:textId="77777777" w:rsidR="00F86CF2" w:rsidRDefault="00F86CF2" w:rsidP="00F86CF2">
      <w:pPr>
        <w:numPr>
          <w:ilvl w:val="0"/>
          <w:numId w:val="34"/>
        </w:numPr>
        <w:tabs>
          <w:tab w:val="left" w:pos="568"/>
        </w:tabs>
        <w:spacing w:line="244" w:lineRule="auto"/>
        <w:ind w:left="2" w:right="26"/>
        <w:jc w:val="both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bronchektazių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būklės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plaučiuose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išsiplėtę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fibrozės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surandėjimo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nuolatinis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;</w:t>
      </w:r>
      <w:proofErr w:type="gramEnd"/>
    </w:p>
    <w:p w14:paraId="02024CEB" w14:textId="77777777" w:rsidR="00F86CF2" w:rsidRDefault="00F86CF2" w:rsidP="00F86CF2">
      <w:pPr>
        <w:spacing w:line="2" w:lineRule="exact"/>
        <w:rPr>
          <w:rFonts w:ascii="Arial" w:eastAsia="Arial" w:hAnsi="Arial" w:cs="Arial"/>
        </w:rPr>
      </w:pPr>
    </w:p>
    <w:p w14:paraId="2D4D9755" w14:textId="77777777" w:rsidR="00F86CF2" w:rsidRDefault="00F86CF2" w:rsidP="00F86CF2">
      <w:pPr>
        <w:numPr>
          <w:ilvl w:val="0"/>
          <w:numId w:val="34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skystis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ląstoje</w:t>
      </w:r>
      <w:proofErr w:type="spellEnd"/>
      <w:r>
        <w:rPr>
          <w:rFonts w:eastAsia="Times New Roman"/>
        </w:rPr>
        <w:t>;</w:t>
      </w:r>
      <w:proofErr w:type="gramEnd"/>
    </w:p>
    <w:p w14:paraId="14B3680F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41ABB934" w14:textId="77777777" w:rsidR="00F86CF2" w:rsidRDefault="00F86CF2" w:rsidP="00F86CF2">
      <w:pPr>
        <w:numPr>
          <w:ilvl w:val="0"/>
          <w:numId w:val="34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prienosinių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pažeidimas</w:t>
      </w:r>
      <w:proofErr w:type="spellEnd"/>
      <w:r>
        <w:rPr>
          <w:rFonts w:eastAsia="Times New Roman"/>
        </w:rPr>
        <w:t>.</w:t>
      </w:r>
    </w:p>
    <w:p w14:paraId="73ECCABE" w14:textId="77777777" w:rsidR="00F86CF2" w:rsidRDefault="00F86CF2" w:rsidP="00F86CF2">
      <w:pPr>
        <w:spacing w:line="249" w:lineRule="exact"/>
        <w:rPr>
          <w:sz w:val="20"/>
          <w:szCs w:val="20"/>
        </w:rPr>
      </w:pPr>
    </w:p>
    <w:p w14:paraId="5E2AC678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sutrikimai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>:</w:t>
      </w:r>
    </w:p>
    <w:p w14:paraId="2A0CD5B8" w14:textId="77777777" w:rsidR="00F86CF2" w:rsidRDefault="00F86CF2" w:rsidP="00F86CF2">
      <w:pPr>
        <w:spacing w:line="19" w:lineRule="exact"/>
        <w:rPr>
          <w:sz w:val="20"/>
          <w:szCs w:val="20"/>
        </w:rPr>
      </w:pPr>
    </w:p>
    <w:p w14:paraId="496FAB71" w14:textId="77777777" w:rsidR="00F86CF2" w:rsidRDefault="00F86CF2" w:rsidP="00F86CF2">
      <w:pPr>
        <w:numPr>
          <w:ilvl w:val="0"/>
          <w:numId w:val="35"/>
        </w:numPr>
        <w:tabs>
          <w:tab w:val="left" w:pos="568"/>
        </w:tabs>
        <w:spacing w:line="280" w:lineRule="auto"/>
        <w:ind w:left="2" w:right="66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sumažėjusi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masė</w:t>
      </w:r>
      <w:proofErr w:type="spellEnd"/>
      <w:r>
        <w:rPr>
          <w:rFonts w:eastAsia="Times New Roman"/>
        </w:rPr>
        <w:t xml:space="preserve">, podagra, </w:t>
      </w:r>
      <w:proofErr w:type="spellStart"/>
      <w:r>
        <w:rPr>
          <w:rFonts w:eastAsia="Times New Roman"/>
        </w:rPr>
        <w:t>padidėjusi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mėlynės</w:t>
      </w:r>
      <w:proofErr w:type="spellEnd"/>
      <w:r>
        <w:rPr>
          <w:rFonts w:eastAsia="Times New Roman"/>
        </w:rPr>
        <w:t>.</w:t>
      </w:r>
    </w:p>
    <w:p w14:paraId="5C10DF59" w14:textId="77777777" w:rsidR="00F86CF2" w:rsidRDefault="00F86CF2" w:rsidP="00F86CF2">
      <w:pPr>
        <w:spacing w:line="173" w:lineRule="exact"/>
        <w:rPr>
          <w:sz w:val="20"/>
          <w:szCs w:val="20"/>
        </w:rPr>
      </w:pPr>
    </w:p>
    <w:p w14:paraId="0E55363F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760ECB5A" w14:textId="77777777" w:rsidR="00F86CF2" w:rsidRDefault="00F86CF2" w:rsidP="00F86CF2">
      <w:pPr>
        <w:spacing w:line="14" w:lineRule="exact"/>
        <w:rPr>
          <w:sz w:val="20"/>
          <w:szCs w:val="20"/>
        </w:rPr>
      </w:pPr>
    </w:p>
    <w:p w14:paraId="309C2BF0" w14:textId="77777777" w:rsidR="00F86CF2" w:rsidRDefault="00F86CF2" w:rsidP="00F86CF2">
      <w:pPr>
        <w:spacing w:line="260" w:lineRule="auto"/>
        <w:ind w:left="2" w:right="246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</w:rPr>
        <w:t xml:space="preserve"> </w:t>
      </w:r>
      <w:hyperlink r:id="rId5">
        <w:r>
          <w:rPr>
            <w:rFonts w:eastAsia="Times New Roman"/>
            <w:color w:val="0000FF"/>
            <w:highlight w:val="lightGray"/>
            <w:u w:val="single"/>
          </w:rPr>
          <w:t xml:space="preserve">V </w:t>
        </w:r>
        <w:proofErr w:type="spellStart"/>
        <w:r>
          <w:rPr>
            <w:rFonts w:eastAsia="Times New Roman"/>
            <w:color w:val="0000FF"/>
            <w:highlight w:val="lightGray"/>
            <w:u w:val="single"/>
          </w:rPr>
          <w:t>priede</w:t>
        </w:r>
        <w:proofErr w:type="spellEnd"/>
        <w:r>
          <w:rPr>
            <w:rFonts w:eastAsia="Times New Roman"/>
            <w:u w:val="single"/>
          </w:rPr>
          <w:t xml:space="preserve"> </w:t>
        </w:r>
      </w:hyperlink>
      <w:proofErr w:type="spellStart"/>
      <w:r>
        <w:rPr>
          <w:rFonts w:eastAsia="Times New Roman"/>
          <w:highlight w:val="lightGray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  <w:highlight w:val="lightGray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724E73EC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46C2077D" w14:textId="77777777" w:rsidR="00F86CF2" w:rsidRDefault="00F86CF2" w:rsidP="00F86CF2">
      <w:pPr>
        <w:spacing w:line="241" w:lineRule="exact"/>
        <w:rPr>
          <w:sz w:val="20"/>
          <w:szCs w:val="20"/>
        </w:rPr>
      </w:pPr>
    </w:p>
    <w:p w14:paraId="1CA62FD6" w14:textId="77777777" w:rsidR="00F86CF2" w:rsidRDefault="00F86CF2" w:rsidP="00F86CF2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5.    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CellCept</w:t>
      </w:r>
      <w:proofErr w:type="spellEnd"/>
    </w:p>
    <w:p w14:paraId="2E85EE06" w14:textId="77777777" w:rsidR="00F86CF2" w:rsidRDefault="00F86CF2" w:rsidP="00F86CF2">
      <w:pPr>
        <w:spacing w:line="268" w:lineRule="exact"/>
        <w:rPr>
          <w:sz w:val="20"/>
          <w:szCs w:val="20"/>
        </w:rPr>
      </w:pPr>
    </w:p>
    <w:p w14:paraId="63092861" w14:textId="77777777" w:rsidR="00F86CF2" w:rsidRDefault="00F86CF2" w:rsidP="00F86CF2">
      <w:pPr>
        <w:numPr>
          <w:ilvl w:val="0"/>
          <w:numId w:val="36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715F0706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659D5FB2" w14:textId="77777777" w:rsidR="00F86CF2" w:rsidRDefault="00F86CF2" w:rsidP="00F86CF2">
      <w:pPr>
        <w:numPr>
          <w:ilvl w:val="0"/>
          <w:numId w:val="36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616D2CDE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345F2E7F" w14:textId="77777777" w:rsidR="00F86CF2" w:rsidRDefault="00F86CF2" w:rsidP="00F86CF2">
      <w:pPr>
        <w:numPr>
          <w:ilvl w:val="0"/>
          <w:numId w:val="36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aukštesnėje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25 </w:t>
      </w:r>
      <w:r>
        <w:rPr>
          <w:rFonts w:ascii="Arial" w:eastAsia="Arial" w:hAnsi="Arial" w:cs="Arial"/>
        </w:rPr>
        <w:t>°</w:t>
      </w:r>
      <w:r>
        <w:rPr>
          <w:rFonts w:eastAsia="Times New Roman"/>
        </w:rPr>
        <w:t xml:space="preserve">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>.</w:t>
      </w:r>
    </w:p>
    <w:p w14:paraId="42877C8D" w14:textId="77777777" w:rsidR="00F86CF2" w:rsidRDefault="00F86CF2" w:rsidP="00F86CF2">
      <w:pPr>
        <w:spacing w:line="17" w:lineRule="exact"/>
        <w:rPr>
          <w:rFonts w:ascii="Arial" w:eastAsia="Arial" w:hAnsi="Arial" w:cs="Arial"/>
        </w:rPr>
      </w:pPr>
    </w:p>
    <w:p w14:paraId="62C212D3" w14:textId="77777777" w:rsidR="00F86CF2" w:rsidRDefault="00F86CF2" w:rsidP="00F86CF2">
      <w:pPr>
        <w:numPr>
          <w:ilvl w:val="0"/>
          <w:numId w:val="36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drėgmės</w:t>
      </w:r>
      <w:proofErr w:type="spellEnd"/>
      <w:r>
        <w:rPr>
          <w:rFonts w:eastAsia="Times New Roman"/>
        </w:rPr>
        <w:t>.</w:t>
      </w:r>
    </w:p>
    <w:p w14:paraId="4A590E2E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5581D945" w14:textId="77777777" w:rsidR="00F86CF2" w:rsidRDefault="00F86CF2" w:rsidP="00F86CF2">
      <w:pPr>
        <w:numPr>
          <w:ilvl w:val="0"/>
          <w:numId w:val="36"/>
        </w:numPr>
        <w:tabs>
          <w:tab w:val="left" w:pos="568"/>
        </w:tabs>
        <w:spacing w:line="278" w:lineRule="auto"/>
        <w:ind w:left="2" w:right="46" w:hanging="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>.</w:t>
      </w:r>
    </w:p>
    <w:p w14:paraId="71790EBF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4C3797B1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0BC34722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5D8C910E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74A5BEA5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158FA3C0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4289AE21" w14:textId="77777777" w:rsidR="00F86CF2" w:rsidRDefault="00F86CF2" w:rsidP="00F86CF2">
      <w:pPr>
        <w:spacing w:line="232" w:lineRule="exact"/>
        <w:rPr>
          <w:sz w:val="20"/>
          <w:szCs w:val="20"/>
        </w:rPr>
      </w:pPr>
    </w:p>
    <w:p w14:paraId="36E9F65D" w14:textId="77777777" w:rsidR="00F86CF2" w:rsidRDefault="00F86CF2" w:rsidP="00F86CF2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108</w:t>
      </w:r>
    </w:p>
    <w:p w14:paraId="489D2779" w14:textId="77777777" w:rsidR="00F86CF2" w:rsidRDefault="00F86CF2" w:rsidP="00F86CF2">
      <w:pPr>
        <w:sectPr w:rsidR="00F86CF2">
          <w:pgSz w:w="11900" w:h="16841"/>
          <w:pgMar w:top="1352" w:right="1440" w:bottom="192" w:left="1418" w:header="0" w:footer="0" w:gutter="0"/>
          <w:cols w:space="720" w:equalWidth="0">
            <w:col w:w="9048"/>
          </w:cols>
        </w:sectPr>
      </w:pPr>
    </w:p>
    <w:p w14:paraId="5000370E" w14:textId="77777777" w:rsidR="00F86CF2" w:rsidRDefault="00F86CF2" w:rsidP="00F86CF2">
      <w:pPr>
        <w:numPr>
          <w:ilvl w:val="0"/>
          <w:numId w:val="37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bookmarkStart w:id="6" w:name="page109"/>
      <w:bookmarkEnd w:id="6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334CF5B8" w14:textId="77777777" w:rsidR="00F86CF2" w:rsidRDefault="00F86CF2" w:rsidP="00F86CF2">
      <w:pPr>
        <w:spacing w:line="253" w:lineRule="exact"/>
        <w:rPr>
          <w:sz w:val="20"/>
          <w:szCs w:val="20"/>
        </w:rPr>
      </w:pPr>
    </w:p>
    <w:p w14:paraId="2A7B6152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CellCept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5A515995" w14:textId="77777777" w:rsidR="00F86CF2" w:rsidRDefault="00F86CF2" w:rsidP="00F86CF2">
      <w:pPr>
        <w:spacing w:line="17" w:lineRule="exact"/>
        <w:rPr>
          <w:sz w:val="20"/>
          <w:szCs w:val="20"/>
        </w:rPr>
      </w:pPr>
    </w:p>
    <w:p w14:paraId="7DE69E50" w14:textId="77777777" w:rsidR="00F86CF2" w:rsidRDefault="00F86CF2" w:rsidP="00F86CF2">
      <w:pPr>
        <w:numPr>
          <w:ilvl w:val="0"/>
          <w:numId w:val="38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mikofenolato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mofetilis</w:t>
      </w:r>
      <w:proofErr w:type="spellEnd"/>
      <w:r>
        <w:rPr>
          <w:rFonts w:eastAsia="Times New Roman"/>
        </w:rPr>
        <w:t>.</w:t>
      </w:r>
    </w:p>
    <w:p w14:paraId="13546691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27EF73C3" w14:textId="77777777" w:rsidR="00F86CF2" w:rsidRDefault="00F86CF2" w:rsidP="00F86CF2">
      <w:pPr>
        <w:numPr>
          <w:ilvl w:val="0"/>
          <w:numId w:val="38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>:</w:t>
      </w:r>
    </w:p>
    <w:p w14:paraId="2838C453" w14:textId="77777777" w:rsidR="00F86CF2" w:rsidRDefault="00F86CF2" w:rsidP="00F86CF2">
      <w:pPr>
        <w:spacing w:line="14" w:lineRule="exact"/>
        <w:rPr>
          <w:rFonts w:ascii="Arial" w:eastAsia="Arial" w:hAnsi="Arial" w:cs="Arial"/>
        </w:rPr>
      </w:pPr>
    </w:p>
    <w:p w14:paraId="24D07EBE" w14:textId="77777777" w:rsidR="00F86CF2" w:rsidRDefault="00F86CF2" w:rsidP="00F86CF2">
      <w:pPr>
        <w:numPr>
          <w:ilvl w:val="0"/>
          <w:numId w:val="38"/>
        </w:numPr>
        <w:tabs>
          <w:tab w:val="left" w:pos="568"/>
        </w:tabs>
        <w:spacing w:line="247" w:lineRule="auto"/>
        <w:ind w:left="2" w:right="740" w:hanging="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kapsulių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užpildo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pregelifikuotas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kukurūzų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krakmolas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kroskarmeliozės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polividonas</w:t>
      </w:r>
      <w:proofErr w:type="spellEnd"/>
      <w:r>
        <w:rPr>
          <w:rFonts w:eastAsia="Times New Roman"/>
        </w:rPr>
        <w:t xml:space="preserve"> (K-90), </w:t>
      </w:r>
      <w:proofErr w:type="spellStart"/>
      <w:r>
        <w:rPr>
          <w:rFonts w:eastAsia="Times New Roman"/>
        </w:rPr>
        <w:t>magnio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stearatas</w:t>
      </w:r>
      <w:proofErr w:type="spellEnd"/>
      <w:r>
        <w:rPr>
          <w:rFonts w:eastAsia="Times New Roman"/>
        </w:rPr>
        <w:t>.</w:t>
      </w:r>
    </w:p>
    <w:p w14:paraId="6D9B09A6" w14:textId="77777777" w:rsidR="00F86CF2" w:rsidRDefault="00F86CF2" w:rsidP="00F86CF2">
      <w:pPr>
        <w:spacing w:line="1" w:lineRule="exact"/>
        <w:rPr>
          <w:rFonts w:ascii="Arial" w:eastAsia="Arial" w:hAnsi="Arial" w:cs="Arial"/>
        </w:rPr>
      </w:pPr>
    </w:p>
    <w:p w14:paraId="6FCE2235" w14:textId="77777777" w:rsidR="00F86CF2" w:rsidRDefault="00F86CF2" w:rsidP="00F86CF2">
      <w:pPr>
        <w:numPr>
          <w:ilvl w:val="0"/>
          <w:numId w:val="38"/>
        </w:numPr>
        <w:tabs>
          <w:tab w:val="left" w:pos="568"/>
        </w:tabs>
        <w:spacing w:line="259" w:lineRule="auto"/>
        <w:ind w:left="2" w:right="280" w:hanging="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Kapsulių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lukšto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želatina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indigokarminas</w:t>
      </w:r>
      <w:proofErr w:type="spellEnd"/>
      <w:r>
        <w:rPr>
          <w:rFonts w:eastAsia="Times New Roman"/>
        </w:rPr>
        <w:t xml:space="preserve"> (E132), </w:t>
      </w:r>
      <w:proofErr w:type="spellStart"/>
      <w:r>
        <w:rPr>
          <w:rFonts w:eastAsia="Times New Roman"/>
        </w:rPr>
        <w:t>geltonasis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oksidas</w:t>
      </w:r>
      <w:proofErr w:type="spellEnd"/>
      <w:r>
        <w:rPr>
          <w:rFonts w:eastAsia="Times New Roman"/>
        </w:rPr>
        <w:t xml:space="preserve"> (E172), </w:t>
      </w:r>
      <w:proofErr w:type="spellStart"/>
      <w:r>
        <w:rPr>
          <w:rFonts w:eastAsia="Times New Roman"/>
        </w:rPr>
        <w:t>raudonasis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oksidas</w:t>
      </w:r>
      <w:proofErr w:type="spellEnd"/>
      <w:r>
        <w:rPr>
          <w:rFonts w:eastAsia="Times New Roman"/>
        </w:rPr>
        <w:t xml:space="preserve"> (E172), </w:t>
      </w:r>
      <w:proofErr w:type="spellStart"/>
      <w:r>
        <w:rPr>
          <w:rFonts w:eastAsia="Times New Roman"/>
        </w:rPr>
        <w:t>titano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dioksidas</w:t>
      </w:r>
      <w:proofErr w:type="spellEnd"/>
      <w:r>
        <w:rPr>
          <w:rFonts w:eastAsia="Times New Roman"/>
        </w:rPr>
        <w:t xml:space="preserve"> (E171), </w:t>
      </w:r>
      <w:proofErr w:type="spellStart"/>
      <w:r>
        <w:rPr>
          <w:rFonts w:eastAsia="Times New Roman"/>
        </w:rPr>
        <w:t>juodasis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oksidas</w:t>
      </w:r>
      <w:proofErr w:type="spellEnd"/>
      <w:r>
        <w:rPr>
          <w:rFonts w:eastAsia="Times New Roman"/>
        </w:rPr>
        <w:t xml:space="preserve"> (E172), </w:t>
      </w:r>
      <w:proofErr w:type="spellStart"/>
      <w:r>
        <w:rPr>
          <w:rFonts w:eastAsia="Times New Roman"/>
        </w:rPr>
        <w:t>kalio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hidroksidas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šelakas</w:t>
      </w:r>
      <w:proofErr w:type="spellEnd"/>
      <w:r>
        <w:rPr>
          <w:rFonts w:eastAsia="Times New Roman"/>
        </w:rPr>
        <w:t>.</w:t>
      </w:r>
    </w:p>
    <w:p w14:paraId="520343AA" w14:textId="77777777" w:rsidR="00F86CF2" w:rsidRDefault="00F86CF2" w:rsidP="00F86CF2">
      <w:pPr>
        <w:spacing w:line="194" w:lineRule="exact"/>
        <w:rPr>
          <w:sz w:val="20"/>
          <w:szCs w:val="20"/>
        </w:rPr>
      </w:pPr>
    </w:p>
    <w:p w14:paraId="6247A6B3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CellCept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71D307FA" w14:textId="77777777" w:rsidR="00F86CF2" w:rsidRDefault="00F86CF2" w:rsidP="00F86CF2">
      <w:pPr>
        <w:spacing w:line="15" w:lineRule="exact"/>
        <w:rPr>
          <w:sz w:val="20"/>
          <w:szCs w:val="20"/>
        </w:rPr>
      </w:pPr>
    </w:p>
    <w:p w14:paraId="47E5F1B0" w14:textId="77777777" w:rsidR="00F86CF2" w:rsidRDefault="00F86CF2" w:rsidP="00F86CF2">
      <w:pPr>
        <w:numPr>
          <w:ilvl w:val="0"/>
          <w:numId w:val="39"/>
        </w:numPr>
        <w:tabs>
          <w:tab w:val="left" w:pos="568"/>
        </w:tabs>
        <w:spacing w:line="244" w:lineRule="auto"/>
        <w:ind w:left="2" w:right="460" w:hanging="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kapsulės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pailgos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galas </w:t>
      </w:r>
      <w:proofErr w:type="spellStart"/>
      <w:r>
        <w:rPr>
          <w:rFonts w:eastAsia="Times New Roman"/>
        </w:rPr>
        <w:t>mėlynos</w:t>
      </w:r>
      <w:proofErr w:type="spellEnd"/>
      <w:r>
        <w:rPr>
          <w:rFonts w:eastAsia="Times New Roman"/>
        </w:rPr>
        <w:t xml:space="preserve">, o 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rudos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. Ant </w:t>
      </w:r>
      <w:proofErr w:type="spellStart"/>
      <w:r>
        <w:rPr>
          <w:rFonts w:eastAsia="Times New Roman"/>
        </w:rPr>
        <w:t>kapsulės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juodai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atspausdinta“</w:t>
      </w:r>
      <w:proofErr w:type="gramEnd"/>
      <w:r>
        <w:rPr>
          <w:rFonts w:eastAsia="Times New Roman"/>
        </w:rPr>
        <w:t>CellCept</w:t>
      </w:r>
      <w:proofErr w:type="spellEnd"/>
      <w:r>
        <w:rPr>
          <w:rFonts w:eastAsia="Times New Roman"/>
        </w:rPr>
        <w:t xml:space="preserve"> 250”, o ant </w:t>
      </w:r>
      <w:proofErr w:type="spellStart"/>
      <w:r>
        <w:rPr>
          <w:rFonts w:eastAsia="Times New Roman"/>
        </w:rPr>
        <w:t>kapsulės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korpuso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juodai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atspausdintas</w:t>
      </w:r>
      <w:proofErr w:type="spellEnd"/>
      <w:r>
        <w:rPr>
          <w:rFonts w:eastAsia="Times New Roman"/>
        </w:rPr>
        <w:t xml:space="preserve"> „Roche”.</w:t>
      </w:r>
    </w:p>
    <w:p w14:paraId="5B75CE1E" w14:textId="77777777" w:rsidR="00F86CF2" w:rsidRDefault="00F86CF2" w:rsidP="00F86CF2">
      <w:pPr>
        <w:spacing w:line="2" w:lineRule="exact"/>
        <w:rPr>
          <w:rFonts w:ascii="Arial" w:eastAsia="Arial" w:hAnsi="Arial" w:cs="Arial"/>
        </w:rPr>
      </w:pPr>
    </w:p>
    <w:p w14:paraId="5171454A" w14:textId="77777777" w:rsidR="00F86CF2" w:rsidRDefault="00F86CF2" w:rsidP="00F86CF2">
      <w:pPr>
        <w:numPr>
          <w:ilvl w:val="0"/>
          <w:numId w:val="39"/>
        </w:numPr>
        <w:tabs>
          <w:tab w:val="left" w:pos="568"/>
        </w:tabs>
        <w:spacing w:line="278" w:lineRule="auto"/>
        <w:ind w:left="2" w:hanging="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Kapsulės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dėžutėmis</w:t>
      </w:r>
      <w:proofErr w:type="spellEnd"/>
      <w:r>
        <w:rPr>
          <w:rFonts w:eastAsia="Times New Roman"/>
        </w:rPr>
        <w:t xml:space="preserve"> po 100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300 </w:t>
      </w:r>
      <w:proofErr w:type="spellStart"/>
      <w:r>
        <w:rPr>
          <w:rFonts w:eastAsia="Times New Roman"/>
        </w:rPr>
        <w:t>kapsulių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abiem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kapsulių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300 (3 x 100) </w:t>
      </w:r>
      <w:proofErr w:type="spellStart"/>
      <w:r>
        <w:rPr>
          <w:rFonts w:eastAsia="Times New Roman"/>
        </w:rPr>
        <w:t>kapsulių</w:t>
      </w:r>
      <w:proofErr w:type="spellEnd"/>
      <w:r>
        <w:rPr>
          <w:rFonts w:eastAsia="Times New Roman"/>
        </w:rPr>
        <w:t>.</w:t>
      </w:r>
    </w:p>
    <w:p w14:paraId="017C1369" w14:textId="77777777" w:rsidR="00F86CF2" w:rsidRDefault="00F86CF2" w:rsidP="00F86CF2">
      <w:pPr>
        <w:spacing w:line="172" w:lineRule="exact"/>
        <w:rPr>
          <w:sz w:val="20"/>
          <w:szCs w:val="20"/>
        </w:rPr>
      </w:pPr>
    </w:p>
    <w:p w14:paraId="1001495C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1C681A54" w14:textId="77777777" w:rsidR="00F86CF2" w:rsidRDefault="00F86CF2" w:rsidP="00F86CF2">
      <w:pPr>
        <w:ind w:left="2"/>
        <w:rPr>
          <w:sz w:val="20"/>
          <w:szCs w:val="20"/>
        </w:rPr>
      </w:pPr>
      <w:r>
        <w:rPr>
          <w:rFonts w:eastAsia="Times New Roman"/>
        </w:rPr>
        <w:t>Roche Registration GmbH</w:t>
      </w:r>
    </w:p>
    <w:p w14:paraId="60C6C791" w14:textId="77777777" w:rsidR="00F86CF2" w:rsidRDefault="00F86CF2" w:rsidP="00F86CF2">
      <w:pPr>
        <w:spacing w:line="239" w:lineRule="auto"/>
        <w:ind w:left="2"/>
        <w:rPr>
          <w:sz w:val="20"/>
          <w:szCs w:val="20"/>
        </w:rPr>
      </w:pPr>
      <w:r>
        <w:rPr>
          <w:rFonts w:eastAsia="Times New Roman"/>
        </w:rPr>
        <w:t>Emil-</w:t>
      </w:r>
      <w:proofErr w:type="spellStart"/>
      <w:r>
        <w:rPr>
          <w:rFonts w:eastAsia="Times New Roman"/>
        </w:rPr>
        <w:t>Barell</w:t>
      </w:r>
      <w:proofErr w:type="spellEnd"/>
      <w:r>
        <w:rPr>
          <w:rFonts w:eastAsia="Times New Roman"/>
        </w:rPr>
        <w:t>-Strasse 1</w:t>
      </w:r>
    </w:p>
    <w:p w14:paraId="44E2ECF7" w14:textId="77777777" w:rsidR="00F86CF2" w:rsidRDefault="00F86CF2" w:rsidP="00F86CF2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79639 </w:t>
      </w:r>
      <w:proofErr w:type="spellStart"/>
      <w:r>
        <w:rPr>
          <w:rFonts w:eastAsia="Times New Roman"/>
        </w:rPr>
        <w:t>Grenzach-Wyhlen</w:t>
      </w:r>
      <w:proofErr w:type="spellEnd"/>
    </w:p>
    <w:p w14:paraId="50A99573" w14:textId="77777777" w:rsidR="00F86CF2" w:rsidRDefault="00F86CF2" w:rsidP="00F86CF2">
      <w:pPr>
        <w:spacing w:line="1" w:lineRule="exact"/>
        <w:rPr>
          <w:sz w:val="20"/>
          <w:szCs w:val="20"/>
        </w:rPr>
      </w:pPr>
    </w:p>
    <w:p w14:paraId="14D72ED4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Vokietija</w:t>
      </w:r>
      <w:proofErr w:type="spellEnd"/>
    </w:p>
    <w:p w14:paraId="1E2C2A86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1F68104D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atsakingas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serijos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išleidimą</w:t>
      </w:r>
      <w:proofErr w:type="spellEnd"/>
      <w:r>
        <w:rPr>
          <w:rFonts w:eastAsia="Times New Roman"/>
          <w:b/>
          <w:bCs/>
        </w:rPr>
        <w:t>:</w:t>
      </w:r>
    </w:p>
    <w:p w14:paraId="76462798" w14:textId="77777777" w:rsidR="00F86CF2" w:rsidRDefault="00F86CF2" w:rsidP="00F86CF2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Roche Pharma AG, Emil </w:t>
      </w:r>
      <w:proofErr w:type="spellStart"/>
      <w:r>
        <w:rPr>
          <w:rFonts w:eastAsia="Times New Roman"/>
        </w:rPr>
        <w:t>Barell</w:t>
      </w:r>
      <w:proofErr w:type="spellEnd"/>
      <w:r>
        <w:rPr>
          <w:rFonts w:eastAsia="Times New Roman"/>
        </w:rPr>
        <w:t xml:space="preserve"> Str.1, 79639 </w:t>
      </w:r>
      <w:proofErr w:type="spellStart"/>
      <w:r>
        <w:rPr>
          <w:rFonts w:eastAsia="Times New Roman"/>
        </w:rPr>
        <w:t>Grenzach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Wyhlen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Vokietija</w:t>
      </w:r>
      <w:proofErr w:type="spellEnd"/>
      <w:r>
        <w:rPr>
          <w:rFonts w:eastAsia="Times New Roman"/>
        </w:rPr>
        <w:t>.</w:t>
      </w:r>
    </w:p>
    <w:p w14:paraId="7C69F950" w14:textId="77777777" w:rsidR="00F86CF2" w:rsidRDefault="00F86CF2" w:rsidP="00F86CF2">
      <w:pPr>
        <w:spacing w:line="253" w:lineRule="exact"/>
        <w:rPr>
          <w:sz w:val="20"/>
          <w:szCs w:val="20"/>
        </w:rPr>
      </w:pPr>
    </w:p>
    <w:p w14:paraId="088E5F16" w14:textId="77777777" w:rsidR="00F86CF2" w:rsidRDefault="00F86CF2" w:rsidP="00F86CF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norite </w:t>
      </w:r>
      <w:proofErr w:type="spellStart"/>
      <w:r>
        <w:rPr>
          <w:rFonts w:eastAsia="Times New Roman"/>
        </w:rPr>
        <w:t>sužinoti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registruotojo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atstovą</w:t>
      </w:r>
      <w:proofErr w:type="spellEnd"/>
      <w:r>
        <w:rPr>
          <w:rFonts w:eastAsia="Times New Roman"/>
        </w:rPr>
        <w:t>.</w:t>
      </w:r>
    </w:p>
    <w:p w14:paraId="58E28D8E" w14:textId="77777777" w:rsidR="00F86CF2" w:rsidRDefault="00F86CF2" w:rsidP="00F86CF2">
      <w:pPr>
        <w:spacing w:line="253" w:lineRule="exact"/>
        <w:rPr>
          <w:sz w:val="20"/>
          <w:szCs w:val="20"/>
        </w:rPr>
      </w:pPr>
    </w:p>
    <w:p w14:paraId="065D7421" w14:textId="77777777" w:rsidR="00F86CF2" w:rsidRDefault="00F86CF2" w:rsidP="00F86CF2">
      <w:pPr>
        <w:tabs>
          <w:tab w:val="left" w:pos="456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/Belgique/</w:t>
      </w:r>
      <w:proofErr w:type="spellStart"/>
      <w:r>
        <w:rPr>
          <w:rFonts w:eastAsia="Times New Roman"/>
          <w:b/>
          <w:bCs/>
        </w:rPr>
        <w:t>Belgien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4A3CCCE9" w14:textId="77777777" w:rsidR="00F86CF2" w:rsidRDefault="00F86CF2" w:rsidP="00F86CF2">
      <w:pPr>
        <w:tabs>
          <w:tab w:val="left" w:pos="4561"/>
        </w:tabs>
        <w:spacing w:line="229" w:lineRule="auto"/>
        <w:ind w:left="2"/>
        <w:rPr>
          <w:sz w:val="20"/>
          <w:szCs w:val="20"/>
        </w:rPr>
      </w:pPr>
      <w:r>
        <w:rPr>
          <w:rFonts w:eastAsia="Times New Roman"/>
        </w:rPr>
        <w:t>N.V. Roche S.A.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UAB “Roche </w:t>
      </w:r>
      <w:proofErr w:type="spellStart"/>
      <w:r>
        <w:rPr>
          <w:rFonts w:eastAsia="Times New Roman"/>
        </w:rPr>
        <w:t>Lietuva</w:t>
      </w:r>
      <w:proofErr w:type="spellEnd"/>
      <w:r>
        <w:rPr>
          <w:rFonts w:eastAsia="Times New Roman"/>
        </w:rPr>
        <w:t>”</w:t>
      </w:r>
    </w:p>
    <w:p w14:paraId="198DE5F5" w14:textId="77777777" w:rsidR="00F86CF2" w:rsidRDefault="00F86CF2" w:rsidP="00F86CF2">
      <w:pPr>
        <w:tabs>
          <w:tab w:val="left" w:pos="456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+32 (0) 2 525 82 11</w:t>
      </w:r>
      <w:r>
        <w:rPr>
          <w:sz w:val="20"/>
          <w:szCs w:val="20"/>
        </w:rPr>
        <w:tab/>
      </w:r>
      <w:r>
        <w:rPr>
          <w:rFonts w:eastAsia="Times New Roman"/>
        </w:rPr>
        <w:t>Tel: +370 5 2546799</w:t>
      </w:r>
    </w:p>
    <w:p w14:paraId="73BB9D46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7F8D8C40" w14:textId="77777777" w:rsidR="00F86CF2" w:rsidRDefault="00F86CF2" w:rsidP="00F86CF2">
      <w:pPr>
        <w:spacing w:line="314" w:lineRule="exact"/>
        <w:rPr>
          <w:sz w:val="20"/>
          <w:szCs w:val="20"/>
        </w:rPr>
      </w:pPr>
    </w:p>
    <w:p w14:paraId="744A5CF9" w14:textId="77777777" w:rsidR="00F86CF2" w:rsidRDefault="00F86CF2" w:rsidP="00F86CF2">
      <w:pPr>
        <w:ind w:left="4582"/>
        <w:rPr>
          <w:sz w:val="20"/>
          <w:szCs w:val="20"/>
        </w:rPr>
      </w:pPr>
      <w:r>
        <w:rPr>
          <w:rFonts w:eastAsia="Times New Roman"/>
          <w:b/>
          <w:bCs/>
        </w:rPr>
        <w:t>Luxembourg/Luxemburg</w:t>
      </w:r>
    </w:p>
    <w:p w14:paraId="63DDA1AF" w14:textId="77777777" w:rsidR="00F86CF2" w:rsidRDefault="00F86CF2" w:rsidP="00F86CF2">
      <w:pPr>
        <w:ind w:left="4582"/>
        <w:rPr>
          <w:sz w:val="20"/>
          <w:szCs w:val="20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Voir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siehe</w:t>
      </w:r>
      <w:proofErr w:type="spellEnd"/>
      <w:r>
        <w:rPr>
          <w:rFonts w:eastAsia="Times New Roman"/>
        </w:rPr>
        <w:t xml:space="preserve"> Belgique/</w:t>
      </w:r>
      <w:proofErr w:type="spellStart"/>
      <w:r>
        <w:rPr>
          <w:rFonts w:eastAsia="Times New Roman"/>
        </w:rPr>
        <w:t>Belgien</w:t>
      </w:r>
      <w:proofErr w:type="spellEnd"/>
      <w:r>
        <w:rPr>
          <w:rFonts w:eastAsia="Times New Roman"/>
        </w:rPr>
        <w:t>)</w:t>
      </w:r>
    </w:p>
    <w:p w14:paraId="48909FB3" w14:textId="77777777" w:rsidR="00F86CF2" w:rsidRDefault="00F86CF2" w:rsidP="00F86CF2">
      <w:pPr>
        <w:spacing w:line="253" w:lineRule="exact"/>
        <w:rPr>
          <w:sz w:val="20"/>
          <w:szCs w:val="20"/>
        </w:rPr>
      </w:pPr>
    </w:p>
    <w:p w14:paraId="6F4B69CB" w14:textId="77777777" w:rsidR="00F86CF2" w:rsidRDefault="00F86CF2" w:rsidP="00F86CF2">
      <w:pPr>
        <w:tabs>
          <w:tab w:val="left" w:pos="456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3B2693CC" w14:textId="77777777" w:rsidR="00F86CF2" w:rsidRDefault="00F86CF2" w:rsidP="00F86CF2">
      <w:pPr>
        <w:tabs>
          <w:tab w:val="left" w:pos="456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Рош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България</w:t>
      </w:r>
      <w:proofErr w:type="spellEnd"/>
      <w:r>
        <w:rPr>
          <w:rFonts w:eastAsia="Times New Roman"/>
        </w:rPr>
        <w:t xml:space="preserve"> ЕООД</w:t>
      </w:r>
      <w:r>
        <w:rPr>
          <w:sz w:val="20"/>
          <w:szCs w:val="20"/>
        </w:rPr>
        <w:tab/>
      </w:r>
      <w:r>
        <w:rPr>
          <w:rFonts w:eastAsia="Times New Roman"/>
        </w:rPr>
        <w:t>Roche (</w:t>
      </w:r>
      <w:proofErr w:type="spellStart"/>
      <w:r>
        <w:rPr>
          <w:rFonts w:eastAsia="Times New Roman"/>
        </w:rPr>
        <w:t>Magyarország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Kft</w:t>
      </w:r>
      <w:proofErr w:type="spellEnd"/>
      <w:r>
        <w:rPr>
          <w:rFonts w:eastAsia="Times New Roman"/>
        </w:rPr>
        <w:t>.</w:t>
      </w:r>
    </w:p>
    <w:p w14:paraId="5200C71C" w14:textId="77777777" w:rsidR="00F86CF2" w:rsidRDefault="00F86CF2" w:rsidP="00F86CF2">
      <w:pPr>
        <w:spacing w:line="1" w:lineRule="exact"/>
        <w:rPr>
          <w:sz w:val="20"/>
          <w:szCs w:val="20"/>
        </w:rPr>
      </w:pPr>
    </w:p>
    <w:p w14:paraId="02E35A63" w14:textId="77777777" w:rsidR="00F86CF2" w:rsidRDefault="00F86CF2" w:rsidP="00F86CF2">
      <w:pPr>
        <w:tabs>
          <w:tab w:val="left" w:pos="456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Тел</w:t>
      </w:r>
      <w:proofErr w:type="spellEnd"/>
      <w:r>
        <w:rPr>
          <w:rFonts w:eastAsia="Times New Roman"/>
        </w:rPr>
        <w:t>: +359 2 818 44 44</w:t>
      </w:r>
      <w:r>
        <w:rPr>
          <w:sz w:val="20"/>
          <w:szCs w:val="20"/>
        </w:rPr>
        <w:tab/>
      </w:r>
      <w:r>
        <w:rPr>
          <w:rFonts w:eastAsia="Times New Roman"/>
        </w:rPr>
        <w:t>Tel: +36 - 23 446 800</w:t>
      </w:r>
    </w:p>
    <w:p w14:paraId="670F39F1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4E2EB250" w14:textId="77777777" w:rsidR="00F86CF2" w:rsidRDefault="00F86CF2" w:rsidP="00F86CF2">
      <w:pPr>
        <w:tabs>
          <w:tab w:val="left" w:pos="456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Malta</w:t>
      </w:r>
    </w:p>
    <w:p w14:paraId="707B76C9" w14:textId="77777777" w:rsidR="00F86CF2" w:rsidRDefault="00F86CF2" w:rsidP="00F86CF2">
      <w:pPr>
        <w:tabs>
          <w:tab w:val="left" w:pos="4561"/>
        </w:tabs>
        <w:spacing w:line="239" w:lineRule="auto"/>
        <w:ind w:left="2"/>
        <w:rPr>
          <w:sz w:val="20"/>
          <w:szCs w:val="20"/>
        </w:rPr>
      </w:pPr>
      <w:r>
        <w:rPr>
          <w:rFonts w:eastAsia="Times New Roman"/>
        </w:rPr>
        <w:t>Roche s. r. o.</w:t>
      </w:r>
      <w:r>
        <w:rPr>
          <w:sz w:val="20"/>
          <w:szCs w:val="20"/>
        </w:rPr>
        <w:tab/>
      </w:r>
      <w:r>
        <w:rPr>
          <w:rFonts w:eastAsia="Times New Roman"/>
        </w:rPr>
        <w:t>(See Ireland)</w:t>
      </w:r>
    </w:p>
    <w:p w14:paraId="4B88E10C" w14:textId="77777777" w:rsidR="00F86CF2" w:rsidRDefault="00F86CF2" w:rsidP="00F86CF2">
      <w:pPr>
        <w:ind w:left="2"/>
        <w:rPr>
          <w:sz w:val="20"/>
          <w:szCs w:val="20"/>
        </w:rPr>
      </w:pPr>
      <w:r>
        <w:rPr>
          <w:rFonts w:eastAsia="Times New Roman"/>
        </w:rPr>
        <w:t>Tel: +420 - 2 20382111</w:t>
      </w:r>
    </w:p>
    <w:p w14:paraId="5D2E7614" w14:textId="77777777" w:rsidR="00F86CF2" w:rsidRDefault="00F86CF2" w:rsidP="00F86CF2">
      <w:pPr>
        <w:spacing w:line="255" w:lineRule="exact"/>
        <w:rPr>
          <w:sz w:val="20"/>
          <w:szCs w:val="20"/>
        </w:rPr>
      </w:pPr>
    </w:p>
    <w:p w14:paraId="5A74CC9C" w14:textId="77777777" w:rsidR="00F86CF2" w:rsidRDefault="00F86CF2" w:rsidP="00F86CF2">
      <w:pPr>
        <w:tabs>
          <w:tab w:val="left" w:pos="456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Nederland</w:t>
      </w:r>
    </w:p>
    <w:p w14:paraId="4DDA535D" w14:textId="77777777" w:rsidR="00F86CF2" w:rsidRDefault="00F86CF2" w:rsidP="00F86CF2">
      <w:pPr>
        <w:tabs>
          <w:tab w:val="left" w:pos="4561"/>
        </w:tabs>
        <w:spacing w:line="239" w:lineRule="auto"/>
        <w:ind w:left="2"/>
        <w:rPr>
          <w:sz w:val="20"/>
          <w:szCs w:val="20"/>
        </w:rPr>
      </w:pPr>
      <w:r>
        <w:rPr>
          <w:rFonts w:eastAsia="Times New Roman"/>
        </w:rPr>
        <w:t>Roche a/s</w:t>
      </w:r>
      <w:r>
        <w:rPr>
          <w:sz w:val="20"/>
          <w:szCs w:val="20"/>
        </w:rPr>
        <w:tab/>
      </w:r>
      <w:r>
        <w:rPr>
          <w:rFonts w:eastAsia="Times New Roman"/>
        </w:rPr>
        <w:t>Roche Nederland B.V.</w:t>
      </w:r>
    </w:p>
    <w:p w14:paraId="4BBCF6B1" w14:textId="77777777" w:rsidR="00F86CF2" w:rsidRDefault="00F86CF2" w:rsidP="00F86CF2">
      <w:pPr>
        <w:tabs>
          <w:tab w:val="left" w:pos="456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+45 - 36 39 99 99</w:t>
      </w:r>
      <w:r>
        <w:rPr>
          <w:sz w:val="20"/>
          <w:szCs w:val="20"/>
        </w:rPr>
        <w:tab/>
      </w:r>
      <w:r>
        <w:rPr>
          <w:rFonts w:eastAsia="Times New Roman"/>
        </w:rPr>
        <w:t>Tel: +31 (0) 348 438050</w:t>
      </w:r>
    </w:p>
    <w:p w14:paraId="2B50D153" w14:textId="77777777" w:rsidR="00F86CF2" w:rsidRDefault="00F86CF2" w:rsidP="00F86CF2">
      <w:pPr>
        <w:spacing w:line="253" w:lineRule="exact"/>
        <w:rPr>
          <w:sz w:val="20"/>
          <w:szCs w:val="20"/>
        </w:rPr>
      </w:pPr>
    </w:p>
    <w:p w14:paraId="567B1BA4" w14:textId="77777777" w:rsidR="00F86CF2" w:rsidRDefault="00F86CF2" w:rsidP="00F86CF2">
      <w:pPr>
        <w:tabs>
          <w:tab w:val="left" w:pos="4561"/>
        </w:tabs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Norge</w:t>
      </w:r>
    </w:p>
    <w:p w14:paraId="4BE04F26" w14:textId="77777777" w:rsidR="00F86CF2" w:rsidRDefault="00F86CF2" w:rsidP="00F86CF2">
      <w:pPr>
        <w:tabs>
          <w:tab w:val="left" w:pos="4561"/>
        </w:tabs>
        <w:ind w:left="2"/>
        <w:rPr>
          <w:sz w:val="20"/>
          <w:szCs w:val="20"/>
        </w:rPr>
      </w:pPr>
      <w:r>
        <w:rPr>
          <w:rFonts w:eastAsia="Times New Roman"/>
        </w:rPr>
        <w:t>Roche Pharma AG</w:t>
      </w:r>
      <w:r>
        <w:rPr>
          <w:sz w:val="20"/>
          <w:szCs w:val="20"/>
        </w:rPr>
        <w:tab/>
      </w:r>
      <w:r>
        <w:rPr>
          <w:rFonts w:eastAsia="Times New Roman"/>
        </w:rPr>
        <w:t>Roche Norge AS</w:t>
      </w:r>
    </w:p>
    <w:p w14:paraId="77494635" w14:textId="77777777" w:rsidR="00F86CF2" w:rsidRDefault="00F86CF2" w:rsidP="00F86CF2">
      <w:pPr>
        <w:spacing w:line="1" w:lineRule="exact"/>
        <w:rPr>
          <w:sz w:val="20"/>
          <w:szCs w:val="20"/>
        </w:rPr>
      </w:pPr>
    </w:p>
    <w:p w14:paraId="5117648D" w14:textId="77777777" w:rsidR="00F86CF2" w:rsidRDefault="00F86CF2" w:rsidP="00F86CF2">
      <w:pPr>
        <w:tabs>
          <w:tab w:val="left" w:pos="4561"/>
        </w:tabs>
        <w:ind w:left="2"/>
        <w:rPr>
          <w:sz w:val="20"/>
          <w:szCs w:val="20"/>
        </w:rPr>
      </w:pPr>
      <w:r>
        <w:rPr>
          <w:rFonts w:eastAsia="Times New Roman"/>
        </w:rPr>
        <w:t>Tel: +49 (0) 7624 140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+47 - 22 78 90 00</w:t>
      </w:r>
    </w:p>
    <w:p w14:paraId="09795476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0EA9E12D" w14:textId="77777777" w:rsidR="00F86CF2" w:rsidRDefault="00F86CF2" w:rsidP="00F86CF2">
      <w:pPr>
        <w:tabs>
          <w:tab w:val="left" w:pos="456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Eesti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26303891" w14:textId="77777777" w:rsidR="00F86CF2" w:rsidRDefault="00F86CF2" w:rsidP="00F86CF2">
      <w:pPr>
        <w:tabs>
          <w:tab w:val="left" w:pos="4561"/>
        </w:tabs>
        <w:spacing w:line="239" w:lineRule="auto"/>
        <w:ind w:left="2"/>
        <w:rPr>
          <w:sz w:val="20"/>
          <w:szCs w:val="20"/>
        </w:rPr>
      </w:pPr>
      <w:r>
        <w:rPr>
          <w:rFonts w:eastAsia="Times New Roman"/>
        </w:rPr>
        <w:t xml:space="preserve">Roche </w:t>
      </w:r>
      <w:proofErr w:type="spellStart"/>
      <w:r>
        <w:rPr>
          <w:rFonts w:eastAsia="Times New Roman"/>
        </w:rPr>
        <w:t>Eesti</w:t>
      </w:r>
      <w:proofErr w:type="spellEnd"/>
      <w:r>
        <w:rPr>
          <w:rFonts w:eastAsia="Times New Roman"/>
        </w:rPr>
        <w:t xml:space="preserve"> OÜ</w:t>
      </w:r>
      <w:r>
        <w:rPr>
          <w:sz w:val="20"/>
          <w:szCs w:val="20"/>
        </w:rPr>
        <w:tab/>
      </w:r>
      <w:r>
        <w:rPr>
          <w:rFonts w:eastAsia="Times New Roman"/>
        </w:rPr>
        <w:t>Roche Austria GmbH</w:t>
      </w:r>
    </w:p>
    <w:p w14:paraId="22F6D584" w14:textId="77777777" w:rsidR="00F86CF2" w:rsidRDefault="00F86CF2" w:rsidP="00F86CF2">
      <w:pPr>
        <w:tabs>
          <w:tab w:val="left" w:pos="4561"/>
        </w:tabs>
        <w:ind w:left="2"/>
        <w:rPr>
          <w:sz w:val="20"/>
          <w:szCs w:val="20"/>
        </w:rPr>
      </w:pPr>
      <w:r>
        <w:rPr>
          <w:rFonts w:eastAsia="Times New Roman"/>
        </w:rPr>
        <w:t>Tel: + 372 - 6 177 380</w:t>
      </w:r>
      <w:r>
        <w:rPr>
          <w:sz w:val="20"/>
          <w:szCs w:val="20"/>
        </w:rPr>
        <w:tab/>
      </w:r>
      <w:r>
        <w:rPr>
          <w:rFonts w:eastAsia="Times New Roman"/>
        </w:rPr>
        <w:t>Tel: +43 (0) 1 27739</w:t>
      </w:r>
    </w:p>
    <w:p w14:paraId="7269DD53" w14:textId="77777777" w:rsidR="00F86CF2" w:rsidRDefault="00F86CF2" w:rsidP="00F86CF2">
      <w:pPr>
        <w:sectPr w:rsidR="00F86CF2">
          <w:pgSz w:w="11900" w:h="16841"/>
          <w:pgMar w:top="1103" w:right="1426" w:bottom="203" w:left="1418" w:header="0" w:footer="0" w:gutter="0"/>
          <w:cols w:space="720" w:equalWidth="0">
            <w:col w:w="9062"/>
          </w:cols>
        </w:sectPr>
      </w:pPr>
    </w:p>
    <w:p w14:paraId="625CB814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1A0ECC15" w14:textId="77777777" w:rsidR="00F86CF2" w:rsidRDefault="00F86CF2" w:rsidP="00F86CF2">
      <w:pPr>
        <w:spacing w:line="325" w:lineRule="exact"/>
        <w:rPr>
          <w:sz w:val="20"/>
          <w:szCs w:val="20"/>
        </w:rPr>
      </w:pPr>
    </w:p>
    <w:p w14:paraId="44B7FBEC" w14:textId="77777777" w:rsidR="00F86CF2" w:rsidRDefault="00F86CF2" w:rsidP="00F86CF2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109</w:t>
      </w:r>
    </w:p>
    <w:p w14:paraId="614872B6" w14:textId="77777777" w:rsidR="00F86CF2" w:rsidRDefault="00F86CF2" w:rsidP="00F86CF2">
      <w:pPr>
        <w:sectPr w:rsidR="00F86CF2">
          <w:type w:val="continuous"/>
          <w:pgSz w:w="11900" w:h="16841"/>
          <w:pgMar w:top="1103" w:right="1426" w:bottom="203" w:left="1418" w:header="0" w:footer="0" w:gutter="0"/>
          <w:cols w:space="720" w:equalWidth="0">
            <w:col w:w="9062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060"/>
        <w:gridCol w:w="20"/>
      </w:tblGrid>
      <w:tr w:rsidR="00F86CF2" w14:paraId="435D7B7D" w14:textId="77777777" w:rsidTr="001D340E">
        <w:trPr>
          <w:trHeight w:val="253"/>
        </w:trPr>
        <w:tc>
          <w:tcPr>
            <w:tcW w:w="3600" w:type="dxa"/>
            <w:vAlign w:val="bottom"/>
          </w:tcPr>
          <w:p w14:paraId="33659220" w14:textId="77777777" w:rsidR="00F86CF2" w:rsidRDefault="00F86CF2" w:rsidP="001D340E">
            <w:pPr>
              <w:rPr>
                <w:sz w:val="20"/>
                <w:szCs w:val="20"/>
              </w:rPr>
            </w:pPr>
            <w:bookmarkStart w:id="7" w:name="page110"/>
            <w:bookmarkEnd w:id="7"/>
            <w:proofErr w:type="spellStart"/>
            <w:r>
              <w:rPr>
                <w:rFonts w:eastAsia="Times New Roman"/>
                <w:b/>
                <w:bCs/>
              </w:rPr>
              <w:lastRenderedPageBreak/>
              <w:t>Ελλάδ</w:t>
            </w:r>
            <w:proofErr w:type="spellEnd"/>
            <w:r>
              <w:rPr>
                <w:rFonts w:eastAsia="Times New Roman"/>
                <w:b/>
                <w:bCs/>
              </w:rPr>
              <w:t>α</w:t>
            </w:r>
          </w:p>
        </w:tc>
        <w:tc>
          <w:tcPr>
            <w:tcW w:w="4060" w:type="dxa"/>
            <w:vAlign w:val="bottom"/>
          </w:tcPr>
          <w:p w14:paraId="5AA39F94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Polska</w:t>
            </w:r>
            <w:proofErr w:type="spellEnd"/>
          </w:p>
        </w:tc>
        <w:tc>
          <w:tcPr>
            <w:tcW w:w="0" w:type="dxa"/>
            <w:vAlign w:val="bottom"/>
          </w:tcPr>
          <w:p w14:paraId="522DD552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140699FF" w14:textId="77777777" w:rsidTr="001D340E">
        <w:trPr>
          <w:trHeight w:val="252"/>
        </w:trPr>
        <w:tc>
          <w:tcPr>
            <w:tcW w:w="3600" w:type="dxa"/>
            <w:vAlign w:val="bottom"/>
          </w:tcPr>
          <w:p w14:paraId="745735EF" w14:textId="77777777" w:rsidR="00F86CF2" w:rsidRDefault="00F86CF2" w:rsidP="001D340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Roche (Hellas) A.E.</w:t>
            </w:r>
          </w:p>
        </w:tc>
        <w:tc>
          <w:tcPr>
            <w:tcW w:w="4060" w:type="dxa"/>
            <w:vAlign w:val="bottom"/>
          </w:tcPr>
          <w:p w14:paraId="50BD159F" w14:textId="77777777" w:rsidR="00F86CF2" w:rsidRDefault="00F86CF2" w:rsidP="001D340E">
            <w:pPr>
              <w:spacing w:line="252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Roche </w:t>
            </w:r>
            <w:proofErr w:type="spellStart"/>
            <w:r>
              <w:rPr>
                <w:rFonts w:eastAsia="Times New Roman"/>
              </w:rPr>
              <w:t>Polska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Sp.z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o.o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00F36216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1A13D389" w14:textId="77777777" w:rsidTr="001D340E">
        <w:trPr>
          <w:trHeight w:val="296"/>
        </w:trPr>
        <w:tc>
          <w:tcPr>
            <w:tcW w:w="3600" w:type="dxa"/>
            <w:vAlign w:val="bottom"/>
          </w:tcPr>
          <w:p w14:paraId="5C4E815C" w14:textId="77777777" w:rsidR="00F86CF2" w:rsidRDefault="00F86CF2" w:rsidP="001D340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>: +30 210 61 66 100</w:t>
            </w:r>
          </w:p>
        </w:tc>
        <w:tc>
          <w:tcPr>
            <w:tcW w:w="4060" w:type="dxa"/>
            <w:vAlign w:val="bottom"/>
          </w:tcPr>
          <w:p w14:paraId="4AC594D4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+48 - 22 345 18 88</w:t>
            </w:r>
          </w:p>
        </w:tc>
        <w:tc>
          <w:tcPr>
            <w:tcW w:w="0" w:type="dxa"/>
            <w:vAlign w:val="bottom"/>
          </w:tcPr>
          <w:p w14:paraId="18EB687A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4DAEE7E2" w14:textId="77777777" w:rsidTr="001D340E">
        <w:trPr>
          <w:trHeight w:val="465"/>
        </w:trPr>
        <w:tc>
          <w:tcPr>
            <w:tcW w:w="3600" w:type="dxa"/>
            <w:vAlign w:val="bottom"/>
          </w:tcPr>
          <w:p w14:paraId="05A6DFA0" w14:textId="77777777" w:rsidR="00F86CF2" w:rsidRDefault="00F86CF2" w:rsidP="001D340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España</w:t>
            </w:r>
            <w:proofErr w:type="spellEnd"/>
          </w:p>
        </w:tc>
        <w:tc>
          <w:tcPr>
            <w:tcW w:w="4060" w:type="dxa"/>
            <w:vAlign w:val="bottom"/>
          </w:tcPr>
          <w:p w14:paraId="6DDDC115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Portugal</w:t>
            </w:r>
          </w:p>
        </w:tc>
        <w:tc>
          <w:tcPr>
            <w:tcW w:w="0" w:type="dxa"/>
            <w:vAlign w:val="bottom"/>
          </w:tcPr>
          <w:p w14:paraId="6F45392A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545B8834" w14:textId="77777777" w:rsidTr="001D340E">
        <w:trPr>
          <w:trHeight w:val="252"/>
        </w:trPr>
        <w:tc>
          <w:tcPr>
            <w:tcW w:w="3600" w:type="dxa"/>
            <w:vAlign w:val="bottom"/>
          </w:tcPr>
          <w:p w14:paraId="4A02AB08" w14:textId="77777777" w:rsidR="00F86CF2" w:rsidRDefault="00F86CF2" w:rsidP="001D340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Roche </w:t>
            </w:r>
            <w:proofErr w:type="spellStart"/>
            <w:r>
              <w:rPr>
                <w:rFonts w:eastAsia="Times New Roman"/>
              </w:rPr>
              <w:t>Farma</w:t>
            </w:r>
            <w:proofErr w:type="spellEnd"/>
            <w:r>
              <w:rPr>
                <w:rFonts w:eastAsia="Times New Roman"/>
              </w:rPr>
              <w:t xml:space="preserve"> S.A.</w:t>
            </w:r>
          </w:p>
        </w:tc>
        <w:tc>
          <w:tcPr>
            <w:tcW w:w="4060" w:type="dxa"/>
            <w:vAlign w:val="bottom"/>
          </w:tcPr>
          <w:p w14:paraId="63683B41" w14:textId="77777777" w:rsidR="00F86CF2" w:rsidRDefault="00F86CF2" w:rsidP="001D340E">
            <w:pPr>
              <w:spacing w:line="252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Roche </w:t>
            </w:r>
            <w:proofErr w:type="spellStart"/>
            <w:r>
              <w:rPr>
                <w:rFonts w:eastAsia="Times New Roman"/>
                <w:w w:val="99"/>
              </w:rPr>
              <w:t>Farmacêutica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Química</w:t>
            </w:r>
            <w:proofErr w:type="spellEnd"/>
            <w:r>
              <w:rPr>
                <w:rFonts w:eastAsia="Times New Roman"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</w:rPr>
              <w:t>Lda</w:t>
            </w:r>
            <w:proofErr w:type="spellEnd"/>
          </w:p>
        </w:tc>
        <w:tc>
          <w:tcPr>
            <w:tcW w:w="0" w:type="dxa"/>
            <w:vAlign w:val="bottom"/>
          </w:tcPr>
          <w:p w14:paraId="30B6154A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788CDDDE" w14:textId="77777777" w:rsidTr="001D340E">
        <w:trPr>
          <w:trHeight w:val="296"/>
        </w:trPr>
        <w:tc>
          <w:tcPr>
            <w:tcW w:w="3600" w:type="dxa"/>
            <w:vAlign w:val="bottom"/>
          </w:tcPr>
          <w:p w14:paraId="5685284D" w14:textId="77777777" w:rsidR="00F86CF2" w:rsidRDefault="00F86CF2" w:rsidP="001D34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+34 - 91 324 81 00</w:t>
            </w:r>
          </w:p>
        </w:tc>
        <w:tc>
          <w:tcPr>
            <w:tcW w:w="4060" w:type="dxa"/>
            <w:vAlign w:val="bottom"/>
          </w:tcPr>
          <w:p w14:paraId="4D680403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+351 - 21 425 70 00</w:t>
            </w:r>
          </w:p>
        </w:tc>
        <w:tc>
          <w:tcPr>
            <w:tcW w:w="0" w:type="dxa"/>
            <w:vAlign w:val="bottom"/>
          </w:tcPr>
          <w:p w14:paraId="2A6ED277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2716EB57" w14:textId="77777777" w:rsidTr="001D340E">
        <w:trPr>
          <w:trHeight w:val="463"/>
        </w:trPr>
        <w:tc>
          <w:tcPr>
            <w:tcW w:w="3600" w:type="dxa"/>
            <w:vAlign w:val="bottom"/>
          </w:tcPr>
          <w:p w14:paraId="4F288828" w14:textId="77777777" w:rsidR="00F86CF2" w:rsidRDefault="00F86CF2" w:rsidP="001D340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France</w:t>
            </w:r>
          </w:p>
        </w:tc>
        <w:tc>
          <w:tcPr>
            <w:tcW w:w="4060" w:type="dxa"/>
            <w:vAlign w:val="bottom"/>
          </w:tcPr>
          <w:p w14:paraId="60FC3FC5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România</w:t>
            </w:r>
            <w:proofErr w:type="spellEnd"/>
          </w:p>
        </w:tc>
        <w:tc>
          <w:tcPr>
            <w:tcW w:w="0" w:type="dxa"/>
            <w:vAlign w:val="bottom"/>
          </w:tcPr>
          <w:p w14:paraId="48274F38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65778049" w14:textId="77777777" w:rsidTr="001D340E">
        <w:trPr>
          <w:trHeight w:val="254"/>
        </w:trPr>
        <w:tc>
          <w:tcPr>
            <w:tcW w:w="3600" w:type="dxa"/>
            <w:vAlign w:val="bottom"/>
          </w:tcPr>
          <w:p w14:paraId="354F33D6" w14:textId="77777777" w:rsidR="00F86CF2" w:rsidRDefault="00F86CF2" w:rsidP="001D34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Roche</w:t>
            </w:r>
          </w:p>
        </w:tc>
        <w:tc>
          <w:tcPr>
            <w:tcW w:w="4060" w:type="dxa"/>
            <w:vAlign w:val="bottom"/>
          </w:tcPr>
          <w:p w14:paraId="3A845A4E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Roche </w:t>
            </w:r>
            <w:proofErr w:type="spellStart"/>
            <w:r>
              <w:rPr>
                <w:rFonts w:eastAsia="Times New Roman"/>
              </w:rPr>
              <w:t>România</w:t>
            </w:r>
            <w:proofErr w:type="spellEnd"/>
            <w:r>
              <w:rPr>
                <w:rFonts w:eastAsia="Times New Roman"/>
              </w:rPr>
              <w:t xml:space="preserve"> S.R.L.</w:t>
            </w:r>
          </w:p>
        </w:tc>
        <w:tc>
          <w:tcPr>
            <w:tcW w:w="0" w:type="dxa"/>
            <w:vAlign w:val="bottom"/>
          </w:tcPr>
          <w:p w14:paraId="028939B5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3B721330" w14:textId="77777777" w:rsidTr="001D340E">
        <w:trPr>
          <w:trHeight w:val="303"/>
        </w:trPr>
        <w:tc>
          <w:tcPr>
            <w:tcW w:w="3600" w:type="dxa"/>
            <w:vAlign w:val="bottom"/>
          </w:tcPr>
          <w:p w14:paraId="34815ED1" w14:textId="77777777" w:rsidR="00F86CF2" w:rsidRDefault="00F86CF2" w:rsidP="001D340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Tél</w:t>
            </w:r>
            <w:proofErr w:type="spellEnd"/>
            <w:r>
              <w:rPr>
                <w:rFonts w:eastAsia="Times New Roman"/>
              </w:rPr>
              <w:t>: +33 (0) 1 47 61 40 00</w:t>
            </w:r>
          </w:p>
        </w:tc>
        <w:tc>
          <w:tcPr>
            <w:tcW w:w="4060" w:type="dxa"/>
            <w:vAlign w:val="bottom"/>
          </w:tcPr>
          <w:p w14:paraId="621F50CA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+40 21 206 47 01</w:t>
            </w:r>
          </w:p>
        </w:tc>
        <w:tc>
          <w:tcPr>
            <w:tcW w:w="0" w:type="dxa"/>
            <w:vAlign w:val="bottom"/>
          </w:tcPr>
          <w:p w14:paraId="666B3F8E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1E178275" w14:textId="77777777" w:rsidTr="001D340E">
        <w:trPr>
          <w:trHeight w:val="455"/>
        </w:trPr>
        <w:tc>
          <w:tcPr>
            <w:tcW w:w="3600" w:type="dxa"/>
            <w:vAlign w:val="bottom"/>
          </w:tcPr>
          <w:p w14:paraId="2256E1CB" w14:textId="77777777" w:rsidR="00F86CF2" w:rsidRDefault="00F86CF2" w:rsidP="001D340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Hrvatska</w:t>
            </w:r>
          </w:p>
        </w:tc>
        <w:tc>
          <w:tcPr>
            <w:tcW w:w="4060" w:type="dxa"/>
            <w:vAlign w:val="bottom"/>
          </w:tcPr>
          <w:p w14:paraId="7A20FBEA" w14:textId="77777777" w:rsidR="00F86CF2" w:rsidRDefault="00F86CF2" w:rsidP="001D34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6D31AC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077E32AC" w14:textId="77777777" w:rsidTr="001D340E">
        <w:trPr>
          <w:trHeight w:val="252"/>
        </w:trPr>
        <w:tc>
          <w:tcPr>
            <w:tcW w:w="3600" w:type="dxa"/>
            <w:vAlign w:val="bottom"/>
          </w:tcPr>
          <w:p w14:paraId="06F4765C" w14:textId="77777777" w:rsidR="00F86CF2" w:rsidRDefault="00F86CF2" w:rsidP="001D34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Roche d.o.o.</w:t>
            </w:r>
          </w:p>
        </w:tc>
        <w:tc>
          <w:tcPr>
            <w:tcW w:w="4060" w:type="dxa"/>
            <w:vAlign w:val="bottom"/>
          </w:tcPr>
          <w:p w14:paraId="6B6D4F35" w14:textId="77777777" w:rsidR="00F86CF2" w:rsidRDefault="00F86CF2" w:rsidP="001D34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B848F66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11765F5A" w14:textId="77777777" w:rsidTr="001D340E">
        <w:trPr>
          <w:trHeight w:val="296"/>
        </w:trPr>
        <w:tc>
          <w:tcPr>
            <w:tcW w:w="3600" w:type="dxa"/>
            <w:vAlign w:val="bottom"/>
          </w:tcPr>
          <w:p w14:paraId="0F6A9235" w14:textId="77777777" w:rsidR="00F86CF2" w:rsidRDefault="00F86CF2" w:rsidP="001D34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+ 385 1 47 22 333</w:t>
            </w:r>
          </w:p>
        </w:tc>
        <w:tc>
          <w:tcPr>
            <w:tcW w:w="4060" w:type="dxa"/>
            <w:vMerge w:val="restart"/>
            <w:vAlign w:val="bottom"/>
          </w:tcPr>
          <w:p w14:paraId="0677A4B1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Slovenija</w:t>
            </w:r>
            <w:proofErr w:type="spellEnd"/>
          </w:p>
        </w:tc>
        <w:tc>
          <w:tcPr>
            <w:tcW w:w="0" w:type="dxa"/>
            <w:vAlign w:val="bottom"/>
          </w:tcPr>
          <w:p w14:paraId="36F5DEF0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69C573CF" w14:textId="77777777" w:rsidTr="001D340E">
        <w:trPr>
          <w:trHeight w:val="211"/>
        </w:trPr>
        <w:tc>
          <w:tcPr>
            <w:tcW w:w="3600" w:type="dxa"/>
            <w:vAlign w:val="bottom"/>
          </w:tcPr>
          <w:p w14:paraId="0534C216" w14:textId="77777777" w:rsidR="00F86CF2" w:rsidRDefault="00F86CF2" w:rsidP="001D340E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vMerge/>
            <w:vAlign w:val="bottom"/>
          </w:tcPr>
          <w:p w14:paraId="540676EB" w14:textId="77777777" w:rsidR="00F86CF2" w:rsidRDefault="00F86CF2" w:rsidP="001D340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70D06AA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05BCDFB7" w14:textId="77777777" w:rsidTr="001D340E">
        <w:trPr>
          <w:trHeight w:val="252"/>
        </w:trPr>
        <w:tc>
          <w:tcPr>
            <w:tcW w:w="3600" w:type="dxa"/>
            <w:vAlign w:val="bottom"/>
          </w:tcPr>
          <w:p w14:paraId="56F8B40C" w14:textId="77777777" w:rsidR="00F86CF2" w:rsidRDefault="00F86CF2" w:rsidP="001D340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Ireland</w:t>
            </w:r>
          </w:p>
        </w:tc>
        <w:tc>
          <w:tcPr>
            <w:tcW w:w="4060" w:type="dxa"/>
            <w:vAlign w:val="bottom"/>
          </w:tcPr>
          <w:p w14:paraId="1E202720" w14:textId="77777777" w:rsidR="00F86CF2" w:rsidRDefault="00F86CF2" w:rsidP="001D340E">
            <w:pPr>
              <w:spacing w:line="252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Roche </w:t>
            </w:r>
            <w:proofErr w:type="spellStart"/>
            <w:r>
              <w:rPr>
                <w:rFonts w:eastAsia="Times New Roman"/>
              </w:rPr>
              <w:t>farmacevtska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družba</w:t>
            </w:r>
            <w:proofErr w:type="spellEnd"/>
            <w:r>
              <w:rPr>
                <w:rFonts w:eastAsia="Times New Roman"/>
              </w:rPr>
              <w:t xml:space="preserve"> d.o.o.</w:t>
            </w:r>
          </w:p>
        </w:tc>
        <w:tc>
          <w:tcPr>
            <w:tcW w:w="0" w:type="dxa"/>
            <w:vAlign w:val="bottom"/>
          </w:tcPr>
          <w:p w14:paraId="5289A647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2B0632D9" w14:textId="77777777" w:rsidTr="001D340E">
        <w:trPr>
          <w:trHeight w:val="255"/>
        </w:trPr>
        <w:tc>
          <w:tcPr>
            <w:tcW w:w="3600" w:type="dxa"/>
            <w:vAlign w:val="bottom"/>
          </w:tcPr>
          <w:p w14:paraId="39DF34DD" w14:textId="77777777" w:rsidR="00F86CF2" w:rsidRDefault="00F86CF2" w:rsidP="001D34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Roche Products (Ireland) Ltd.</w:t>
            </w:r>
          </w:p>
        </w:tc>
        <w:tc>
          <w:tcPr>
            <w:tcW w:w="4060" w:type="dxa"/>
            <w:vAlign w:val="bottom"/>
          </w:tcPr>
          <w:p w14:paraId="42FBE3C4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+386 - 1 360 26 00</w:t>
            </w:r>
          </w:p>
        </w:tc>
        <w:tc>
          <w:tcPr>
            <w:tcW w:w="0" w:type="dxa"/>
            <w:vAlign w:val="bottom"/>
          </w:tcPr>
          <w:p w14:paraId="545DBC1B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402A1720" w14:textId="77777777" w:rsidTr="001D340E">
        <w:trPr>
          <w:trHeight w:val="296"/>
        </w:trPr>
        <w:tc>
          <w:tcPr>
            <w:tcW w:w="3600" w:type="dxa"/>
            <w:vAlign w:val="bottom"/>
          </w:tcPr>
          <w:p w14:paraId="27D97CE9" w14:textId="77777777" w:rsidR="00F86CF2" w:rsidRDefault="00F86CF2" w:rsidP="001D34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+353 (0) 1 469 0700</w:t>
            </w:r>
          </w:p>
        </w:tc>
        <w:tc>
          <w:tcPr>
            <w:tcW w:w="4060" w:type="dxa"/>
            <w:vAlign w:val="bottom"/>
          </w:tcPr>
          <w:p w14:paraId="5D99B475" w14:textId="77777777" w:rsidR="00F86CF2" w:rsidRDefault="00F86CF2" w:rsidP="001D34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ACE716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1CA4BACB" w14:textId="77777777" w:rsidTr="001D340E">
        <w:trPr>
          <w:trHeight w:val="463"/>
        </w:trPr>
        <w:tc>
          <w:tcPr>
            <w:tcW w:w="3600" w:type="dxa"/>
            <w:vAlign w:val="bottom"/>
          </w:tcPr>
          <w:p w14:paraId="29C60244" w14:textId="77777777" w:rsidR="00F86CF2" w:rsidRDefault="00F86CF2" w:rsidP="001D340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Ísland</w:t>
            </w:r>
            <w:proofErr w:type="spellEnd"/>
          </w:p>
        </w:tc>
        <w:tc>
          <w:tcPr>
            <w:tcW w:w="4060" w:type="dxa"/>
            <w:vAlign w:val="bottom"/>
          </w:tcPr>
          <w:p w14:paraId="2C51A3CD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Slovenská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republika</w:t>
            </w:r>
            <w:proofErr w:type="spellEnd"/>
          </w:p>
        </w:tc>
        <w:tc>
          <w:tcPr>
            <w:tcW w:w="0" w:type="dxa"/>
            <w:vAlign w:val="bottom"/>
          </w:tcPr>
          <w:p w14:paraId="5305B2AF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3550E610" w14:textId="77777777" w:rsidTr="001D340E">
        <w:trPr>
          <w:trHeight w:val="252"/>
        </w:trPr>
        <w:tc>
          <w:tcPr>
            <w:tcW w:w="3600" w:type="dxa"/>
            <w:vAlign w:val="bottom"/>
          </w:tcPr>
          <w:p w14:paraId="769EC1B4" w14:textId="77777777" w:rsidR="00F86CF2" w:rsidRDefault="00F86CF2" w:rsidP="001D340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Roche a/s</w:t>
            </w:r>
          </w:p>
        </w:tc>
        <w:tc>
          <w:tcPr>
            <w:tcW w:w="4060" w:type="dxa"/>
            <w:vAlign w:val="bottom"/>
          </w:tcPr>
          <w:p w14:paraId="437A0CED" w14:textId="77777777" w:rsidR="00F86CF2" w:rsidRDefault="00F86CF2" w:rsidP="001D340E">
            <w:pPr>
              <w:spacing w:line="252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Roche </w:t>
            </w:r>
            <w:proofErr w:type="spellStart"/>
            <w:r>
              <w:rPr>
                <w:rFonts w:eastAsia="Times New Roman"/>
              </w:rPr>
              <w:t>Slovensko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s.r.o.</w:t>
            </w:r>
            <w:proofErr w:type="spellEnd"/>
          </w:p>
        </w:tc>
        <w:tc>
          <w:tcPr>
            <w:tcW w:w="0" w:type="dxa"/>
            <w:vAlign w:val="bottom"/>
          </w:tcPr>
          <w:p w14:paraId="3C4EC7B9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5D6A6EFA" w14:textId="77777777" w:rsidTr="001D340E">
        <w:trPr>
          <w:trHeight w:val="254"/>
        </w:trPr>
        <w:tc>
          <w:tcPr>
            <w:tcW w:w="3600" w:type="dxa"/>
            <w:vAlign w:val="bottom"/>
          </w:tcPr>
          <w:p w14:paraId="7B96D631" w14:textId="77777777" w:rsidR="00F86CF2" w:rsidRDefault="00F86CF2" w:rsidP="001D34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c/o </w:t>
            </w:r>
            <w:proofErr w:type="spellStart"/>
            <w:r>
              <w:rPr>
                <w:rFonts w:eastAsia="Times New Roman"/>
              </w:rPr>
              <w:t>Icepharma</w:t>
            </w:r>
            <w:proofErr w:type="spellEnd"/>
            <w:r>
              <w:rPr>
                <w:rFonts w:eastAsia="Times New Roman"/>
              </w:rPr>
              <w:t xml:space="preserve"> hf</w:t>
            </w:r>
          </w:p>
        </w:tc>
        <w:tc>
          <w:tcPr>
            <w:tcW w:w="4060" w:type="dxa"/>
            <w:vAlign w:val="bottom"/>
          </w:tcPr>
          <w:p w14:paraId="64A40298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+421 - 2 52638201</w:t>
            </w:r>
          </w:p>
        </w:tc>
        <w:tc>
          <w:tcPr>
            <w:tcW w:w="0" w:type="dxa"/>
            <w:vAlign w:val="bottom"/>
          </w:tcPr>
          <w:p w14:paraId="03047789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44B192EC" w14:textId="77777777" w:rsidTr="001D340E">
        <w:trPr>
          <w:trHeight w:val="296"/>
        </w:trPr>
        <w:tc>
          <w:tcPr>
            <w:tcW w:w="3600" w:type="dxa"/>
            <w:vAlign w:val="bottom"/>
          </w:tcPr>
          <w:p w14:paraId="57304D1B" w14:textId="77777777" w:rsidR="00F86CF2" w:rsidRDefault="00F86CF2" w:rsidP="001D340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Sími</w:t>
            </w:r>
            <w:proofErr w:type="spellEnd"/>
            <w:r>
              <w:rPr>
                <w:rFonts w:eastAsia="Times New Roman"/>
              </w:rPr>
              <w:t>: +354 540 8000</w:t>
            </w:r>
          </w:p>
        </w:tc>
        <w:tc>
          <w:tcPr>
            <w:tcW w:w="4060" w:type="dxa"/>
            <w:vAlign w:val="bottom"/>
          </w:tcPr>
          <w:p w14:paraId="730ADEF2" w14:textId="77777777" w:rsidR="00F86CF2" w:rsidRDefault="00F86CF2" w:rsidP="001D34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17D777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690D523E" w14:textId="77777777" w:rsidTr="001D340E">
        <w:trPr>
          <w:trHeight w:val="463"/>
        </w:trPr>
        <w:tc>
          <w:tcPr>
            <w:tcW w:w="3600" w:type="dxa"/>
            <w:vAlign w:val="bottom"/>
          </w:tcPr>
          <w:p w14:paraId="6B5E4565" w14:textId="77777777" w:rsidR="00F86CF2" w:rsidRDefault="00F86CF2" w:rsidP="001D340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Italia</w:t>
            </w:r>
          </w:p>
        </w:tc>
        <w:tc>
          <w:tcPr>
            <w:tcW w:w="4060" w:type="dxa"/>
            <w:vAlign w:val="bottom"/>
          </w:tcPr>
          <w:p w14:paraId="1A99267C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Suomi/Finland</w:t>
            </w:r>
          </w:p>
        </w:tc>
        <w:tc>
          <w:tcPr>
            <w:tcW w:w="0" w:type="dxa"/>
            <w:vAlign w:val="bottom"/>
          </w:tcPr>
          <w:p w14:paraId="00662104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563938F8" w14:textId="77777777" w:rsidTr="001D340E">
        <w:trPr>
          <w:trHeight w:val="254"/>
        </w:trPr>
        <w:tc>
          <w:tcPr>
            <w:tcW w:w="3600" w:type="dxa"/>
            <w:vAlign w:val="bottom"/>
          </w:tcPr>
          <w:p w14:paraId="3F1912C8" w14:textId="77777777" w:rsidR="00F86CF2" w:rsidRDefault="00F86CF2" w:rsidP="001D34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Roche S.p.A.</w:t>
            </w:r>
          </w:p>
        </w:tc>
        <w:tc>
          <w:tcPr>
            <w:tcW w:w="4060" w:type="dxa"/>
            <w:vAlign w:val="bottom"/>
          </w:tcPr>
          <w:p w14:paraId="3FF246FE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Roche Oy</w:t>
            </w:r>
          </w:p>
        </w:tc>
        <w:tc>
          <w:tcPr>
            <w:tcW w:w="0" w:type="dxa"/>
            <w:vAlign w:val="bottom"/>
          </w:tcPr>
          <w:p w14:paraId="4C9A4AED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1B5CD452" w14:textId="77777777" w:rsidTr="001D340E">
        <w:trPr>
          <w:trHeight w:val="296"/>
        </w:trPr>
        <w:tc>
          <w:tcPr>
            <w:tcW w:w="3600" w:type="dxa"/>
            <w:vAlign w:val="bottom"/>
          </w:tcPr>
          <w:p w14:paraId="6C4B57E2" w14:textId="77777777" w:rsidR="00F86CF2" w:rsidRDefault="00F86CF2" w:rsidP="001D34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+39 - 039 2471</w:t>
            </w:r>
          </w:p>
        </w:tc>
        <w:tc>
          <w:tcPr>
            <w:tcW w:w="4060" w:type="dxa"/>
            <w:vAlign w:val="bottom"/>
          </w:tcPr>
          <w:p w14:paraId="2177787B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Puh/Tel: +358 (0) 10 554 500</w:t>
            </w:r>
          </w:p>
        </w:tc>
        <w:tc>
          <w:tcPr>
            <w:tcW w:w="0" w:type="dxa"/>
            <w:vAlign w:val="bottom"/>
          </w:tcPr>
          <w:p w14:paraId="7F55D86D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6D479F91" w14:textId="77777777" w:rsidTr="001D340E">
        <w:trPr>
          <w:trHeight w:val="463"/>
        </w:trPr>
        <w:tc>
          <w:tcPr>
            <w:tcW w:w="3600" w:type="dxa"/>
            <w:vAlign w:val="bottom"/>
          </w:tcPr>
          <w:p w14:paraId="534A180B" w14:textId="77777777" w:rsidR="00F86CF2" w:rsidRDefault="00F86CF2" w:rsidP="001D340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Kύ</w:t>
            </w:r>
            <w:proofErr w:type="spellEnd"/>
            <w:r>
              <w:rPr>
                <w:rFonts w:eastAsia="Times New Roman"/>
                <w:b/>
                <w:bCs/>
              </w:rPr>
              <w:t>προς</w:t>
            </w:r>
          </w:p>
        </w:tc>
        <w:tc>
          <w:tcPr>
            <w:tcW w:w="4060" w:type="dxa"/>
            <w:vAlign w:val="bottom"/>
          </w:tcPr>
          <w:p w14:paraId="5C89380F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Sverige</w:t>
            </w:r>
          </w:p>
        </w:tc>
        <w:tc>
          <w:tcPr>
            <w:tcW w:w="0" w:type="dxa"/>
            <w:vAlign w:val="bottom"/>
          </w:tcPr>
          <w:p w14:paraId="17387E07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1C4CE672" w14:textId="77777777" w:rsidTr="001D340E">
        <w:trPr>
          <w:trHeight w:val="252"/>
        </w:trPr>
        <w:tc>
          <w:tcPr>
            <w:tcW w:w="3600" w:type="dxa"/>
            <w:vAlign w:val="bottom"/>
          </w:tcPr>
          <w:p w14:paraId="6FC17363" w14:textId="77777777" w:rsidR="00F86CF2" w:rsidRDefault="00F86CF2" w:rsidP="001D340E">
            <w:pPr>
              <w:spacing w:line="25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Γ.Α.Στ</w:t>
            </w:r>
            <w:proofErr w:type="spellEnd"/>
            <w:r>
              <w:rPr>
                <w:rFonts w:eastAsia="Times New Roman"/>
              </w:rPr>
              <w:t xml:space="preserve">αμάτης &amp; </w:t>
            </w:r>
            <w:proofErr w:type="spellStart"/>
            <w:r>
              <w:rPr>
                <w:rFonts w:eastAsia="Times New Roman"/>
              </w:rPr>
              <w:t>Σι</w:t>
            </w:r>
            <w:proofErr w:type="spellEnd"/>
            <w:r>
              <w:rPr>
                <w:rFonts w:eastAsia="Times New Roman"/>
              </w:rPr>
              <w:t xml:space="preserve">α </w:t>
            </w:r>
            <w:proofErr w:type="spellStart"/>
            <w:r>
              <w:rPr>
                <w:rFonts w:eastAsia="Times New Roman"/>
              </w:rPr>
              <w:t>Λτδ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060" w:type="dxa"/>
            <w:vAlign w:val="bottom"/>
          </w:tcPr>
          <w:p w14:paraId="6B748497" w14:textId="77777777" w:rsidR="00F86CF2" w:rsidRDefault="00F86CF2" w:rsidP="001D340E">
            <w:pPr>
              <w:spacing w:line="252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Roche AB</w:t>
            </w:r>
          </w:p>
        </w:tc>
        <w:tc>
          <w:tcPr>
            <w:tcW w:w="0" w:type="dxa"/>
            <w:vAlign w:val="bottom"/>
          </w:tcPr>
          <w:p w14:paraId="700F76C9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74FD8955" w14:textId="77777777" w:rsidTr="001D340E">
        <w:trPr>
          <w:trHeight w:val="296"/>
        </w:trPr>
        <w:tc>
          <w:tcPr>
            <w:tcW w:w="3600" w:type="dxa"/>
            <w:vAlign w:val="bottom"/>
          </w:tcPr>
          <w:p w14:paraId="4D316CC5" w14:textId="77777777" w:rsidR="00F86CF2" w:rsidRDefault="00F86CF2" w:rsidP="001D340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>: +357 - 22 76 62 76</w:t>
            </w:r>
          </w:p>
        </w:tc>
        <w:tc>
          <w:tcPr>
            <w:tcW w:w="4060" w:type="dxa"/>
            <w:vAlign w:val="bottom"/>
          </w:tcPr>
          <w:p w14:paraId="7C2694BC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+46 (0) 8 726 1200</w:t>
            </w:r>
          </w:p>
        </w:tc>
        <w:tc>
          <w:tcPr>
            <w:tcW w:w="0" w:type="dxa"/>
            <w:vAlign w:val="bottom"/>
          </w:tcPr>
          <w:p w14:paraId="6F24E1F6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74E1791D" w14:textId="77777777" w:rsidTr="001D340E">
        <w:trPr>
          <w:trHeight w:val="463"/>
        </w:trPr>
        <w:tc>
          <w:tcPr>
            <w:tcW w:w="3600" w:type="dxa"/>
            <w:vAlign w:val="bottom"/>
          </w:tcPr>
          <w:p w14:paraId="3D8A8288" w14:textId="77777777" w:rsidR="00F86CF2" w:rsidRDefault="00F86CF2" w:rsidP="001D340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Latvija</w:t>
            </w:r>
            <w:proofErr w:type="spellEnd"/>
          </w:p>
        </w:tc>
        <w:tc>
          <w:tcPr>
            <w:tcW w:w="4060" w:type="dxa"/>
            <w:vAlign w:val="bottom"/>
          </w:tcPr>
          <w:p w14:paraId="05BE709B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United Kingdom</w:t>
            </w:r>
          </w:p>
        </w:tc>
        <w:tc>
          <w:tcPr>
            <w:tcW w:w="0" w:type="dxa"/>
            <w:vAlign w:val="bottom"/>
          </w:tcPr>
          <w:p w14:paraId="75F28B93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3AF6DBEA" w14:textId="77777777" w:rsidTr="001D340E">
        <w:trPr>
          <w:trHeight w:val="254"/>
        </w:trPr>
        <w:tc>
          <w:tcPr>
            <w:tcW w:w="3600" w:type="dxa"/>
            <w:vAlign w:val="bottom"/>
          </w:tcPr>
          <w:p w14:paraId="08F05156" w14:textId="77777777" w:rsidR="00F86CF2" w:rsidRDefault="00F86CF2" w:rsidP="001D34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Roche </w:t>
            </w:r>
            <w:proofErr w:type="spellStart"/>
            <w:r>
              <w:rPr>
                <w:rFonts w:eastAsia="Times New Roman"/>
              </w:rPr>
              <w:t>Latvija</w:t>
            </w:r>
            <w:proofErr w:type="spellEnd"/>
            <w:r>
              <w:rPr>
                <w:rFonts w:eastAsia="Times New Roman"/>
              </w:rPr>
              <w:t xml:space="preserve"> SIA</w:t>
            </w:r>
          </w:p>
        </w:tc>
        <w:tc>
          <w:tcPr>
            <w:tcW w:w="4060" w:type="dxa"/>
            <w:vAlign w:val="bottom"/>
          </w:tcPr>
          <w:p w14:paraId="066D1734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Roche Products Ltd.</w:t>
            </w:r>
          </w:p>
        </w:tc>
        <w:tc>
          <w:tcPr>
            <w:tcW w:w="0" w:type="dxa"/>
            <w:vAlign w:val="bottom"/>
          </w:tcPr>
          <w:p w14:paraId="221FD9E5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  <w:tr w:rsidR="00F86CF2" w14:paraId="6F290D5F" w14:textId="77777777" w:rsidTr="001D340E">
        <w:trPr>
          <w:trHeight w:val="303"/>
        </w:trPr>
        <w:tc>
          <w:tcPr>
            <w:tcW w:w="3600" w:type="dxa"/>
            <w:vAlign w:val="bottom"/>
          </w:tcPr>
          <w:p w14:paraId="2B5F82EA" w14:textId="77777777" w:rsidR="00F86CF2" w:rsidRDefault="00F86CF2" w:rsidP="001D34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+371 - 6 7039831</w:t>
            </w:r>
          </w:p>
        </w:tc>
        <w:tc>
          <w:tcPr>
            <w:tcW w:w="4060" w:type="dxa"/>
            <w:vAlign w:val="bottom"/>
          </w:tcPr>
          <w:p w14:paraId="0A2E1BDC" w14:textId="77777777" w:rsidR="00F86CF2" w:rsidRDefault="00F86CF2" w:rsidP="001D340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+44 (0) 1707 366000</w:t>
            </w:r>
          </w:p>
        </w:tc>
        <w:tc>
          <w:tcPr>
            <w:tcW w:w="0" w:type="dxa"/>
            <w:vAlign w:val="bottom"/>
          </w:tcPr>
          <w:p w14:paraId="25EF7A06" w14:textId="77777777" w:rsidR="00F86CF2" w:rsidRDefault="00F86CF2" w:rsidP="001D340E">
            <w:pPr>
              <w:rPr>
                <w:sz w:val="1"/>
                <w:szCs w:val="1"/>
              </w:rPr>
            </w:pPr>
          </w:p>
        </w:tc>
      </w:tr>
    </w:tbl>
    <w:p w14:paraId="14F2E382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450EBE94" w14:textId="77777777" w:rsidR="00F86CF2" w:rsidRDefault="00F86CF2" w:rsidP="00F86CF2">
      <w:pPr>
        <w:spacing w:line="200" w:lineRule="exact"/>
        <w:rPr>
          <w:sz w:val="20"/>
          <w:szCs w:val="20"/>
        </w:rPr>
      </w:pPr>
    </w:p>
    <w:p w14:paraId="61B21120" w14:textId="77777777" w:rsidR="00F86CF2" w:rsidRDefault="00F86CF2" w:rsidP="00F86CF2">
      <w:pPr>
        <w:spacing w:line="316" w:lineRule="exact"/>
        <w:rPr>
          <w:sz w:val="20"/>
          <w:szCs w:val="20"/>
        </w:rPr>
      </w:pPr>
    </w:p>
    <w:p w14:paraId="0747DEE8" w14:textId="77777777" w:rsidR="00F86CF2" w:rsidRDefault="00F86CF2" w:rsidP="00F86CF2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  <w:r>
        <w:rPr>
          <w:rFonts w:eastAsia="Times New Roman"/>
          <w:b/>
          <w:bCs/>
        </w:rPr>
        <w:t xml:space="preserve"> (MMMM/mm)</w:t>
      </w:r>
    </w:p>
    <w:p w14:paraId="6B3F1B6F" w14:textId="77777777" w:rsidR="00F86CF2" w:rsidRDefault="00F86CF2" w:rsidP="00F86CF2">
      <w:pPr>
        <w:spacing w:line="253" w:lineRule="exact"/>
        <w:rPr>
          <w:sz w:val="20"/>
          <w:szCs w:val="20"/>
        </w:rPr>
      </w:pPr>
    </w:p>
    <w:p w14:paraId="6F0C5128" w14:textId="77777777" w:rsidR="00F86CF2" w:rsidRDefault="00F86CF2" w:rsidP="00F86CF2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šaltiniai</w:t>
      </w:r>
      <w:proofErr w:type="spellEnd"/>
    </w:p>
    <w:p w14:paraId="469251A9" w14:textId="77777777" w:rsidR="00F86CF2" w:rsidRDefault="00F86CF2" w:rsidP="00F86CF2">
      <w:pPr>
        <w:spacing w:line="252" w:lineRule="exact"/>
        <w:rPr>
          <w:sz w:val="20"/>
          <w:szCs w:val="20"/>
        </w:rPr>
      </w:pPr>
    </w:p>
    <w:p w14:paraId="76538A0C" w14:textId="77777777" w:rsidR="00F86CF2" w:rsidRDefault="00F86CF2" w:rsidP="00F86CF2">
      <w:pPr>
        <w:spacing w:line="279" w:lineRule="auto"/>
        <w:ind w:right="1826"/>
        <w:rPr>
          <w:rFonts w:eastAsia="Times New Roman"/>
          <w:color w:val="0000FF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hyperlink r:id="rId6">
        <w:r>
          <w:rPr>
            <w:rFonts w:eastAsia="Times New Roman"/>
            <w:color w:val="0000FF"/>
            <w:u w:val="single"/>
          </w:rPr>
          <w:t>http://www.ema.europa.eu</w:t>
        </w:r>
        <w:r>
          <w:rPr>
            <w:rFonts w:eastAsia="Times New Roman"/>
            <w:color w:val="0000FF"/>
          </w:rPr>
          <w:t>.</w:t>
        </w:r>
      </w:hyperlink>
    </w:p>
    <w:p w14:paraId="73C530BB" w14:textId="77777777" w:rsidR="00653CEC" w:rsidRDefault="00653CEC"/>
    <w:sectPr w:rsidR="00653CEC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517E"/>
    <w:multiLevelType w:val="hybridMultilevel"/>
    <w:tmpl w:val="31C6ED70"/>
    <w:lvl w:ilvl="0" w:tplc="8DC07E64">
      <w:start w:val="1"/>
      <w:numFmt w:val="bullet"/>
      <w:lvlText w:val="•"/>
      <w:lvlJc w:val="left"/>
    </w:lvl>
    <w:lvl w:ilvl="1" w:tplc="4776FFD4">
      <w:numFmt w:val="decimal"/>
      <w:lvlText w:val=""/>
      <w:lvlJc w:val="left"/>
    </w:lvl>
    <w:lvl w:ilvl="2" w:tplc="FFC0EED0">
      <w:numFmt w:val="decimal"/>
      <w:lvlText w:val=""/>
      <w:lvlJc w:val="left"/>
    </w:lvl>
    <w:lvl w:ilvl="3" w:tplc="450680F8">
      <w:numFmt w:val="decimal"/>
      <w:lvlText w:val=""/>
      <w:lvlJc w:val="left"/>
    </w:lvl>
    <w:lvl w:ilvl="4" w:tplc="3FF06476">
      <w:numFmt w:val="decimal"/>
      <w:lvlText w:val=""/>
      <w:lvlJc w:val="left"/>
    </w:lvl>
    <w:lvl w:ilvl="5" w:tplc="742C2486">
      <w:numFmt w:val="decimal"/>
      <w:lvlText w:val=""/>
      <w:lvlJc w:val="left"/>
    </w:lvl>
    <w:lvl w:ilvl="6" w:tplc="99224538">
      <w:numFmt w:val="decimal"/>
      <w:lvlText w:val=""/>
      <w:lvlJc w:val="left"/>
    </w:lvl>
    <w:lvl w:ilvl="7" w:tplc="D7E6291E">
      <w:numFmt w:val="decimal"/>
      <w:lvlText w:val=""/>
      <w:lvlJc w:val="left"/>
    </w:lvl>
    <w:lvl w:ilvl="8" w:tplc="DF626A34">
      <w:numFmt w:val="decimal"/>
      <w:lvlText w:val=""/>
      <w:lvlJc w:val="left"/>
    </w:lvl>
  </w:abstractNum>
  <w:abstractNum w:abstractNumId="1" w15:restartNumberingAfterBreak="0">
    <w:nsid w:val="01C65E98"/>
    <w:multiLevelType w:val="hybridMultilevel"/>
    <w:tmpl w:val="FCC82CBE"/>
    <w:lvl w:ilvl="0" w:tplc="FD6843F8">
      <w:start w:val="1"/>
      <w:numFmt w:val="bullet"/>
      <w:lvlText w:val="•"/>
      <w:lvlJc w:val="left"/>
    </w:lvl>
    <w:lvl w:ilvl="1" w:tplc="EDC2F3DA">
      <w:numFmt w:val="decimal"/>
      <w:lvlText w:val=""/>
      <w:lvlJc w:val="left"/>
    </w:lvl>
    <w:lvl w:ilvl="2" w:tplc="72CA1F34">
      <w:numFmt w:val="decimal"/>
      <w:lvlText w:val=""/>
      <w:lvlJc w:val="left"/>
    </w:lvl>
    <w:lvl w:ilvl="3" w:tplc="66764DCC">
      <w:numFmt w:val="decimal"/>
      <w:lvlText w:val=""/>
      <w:lvlJc w:val="left"/>
    </w:lvl>
    <w:lvl w:ilvl="4" w:tplc="15D88526">
      <w:numFmt w:val="decimal"/>
      <w:lvlText w:val=""/>
      <w:lvlJc w:val="left"/>
    </w:lvl>
    <w:lvl w:ilvl="5" w:tplc="AB3CCA02">
      <w:numFmt w:val="decimal"/>
      <w:lvlText w:val=""/>
      <w:lvlJc w:val="left"/>
    </w:lvl>
    <w:lvl w:ilvl="6" w:tplc="257ECCA8">
      <w:numFmt w:val="decimal"/>
      <w:lvlText w:val=""/>
      <w:lvlJc w:val="left"/>
    </w:lvl>
    <w:lvl w:ilvl="7" w:tplc="C428CE40">
      <w:numFmt w:val="decimal"/>
      <w:lvlText w:val=""/>
      <w:lvlJc w:val="left"/>
    </w:lvl>
    <w:lvl w:ilvl="8" w:tplc="2C2844E8">
      <w:numFmt w:val="decimal"/>
      <w:lvlText w:val=""/>
      <w:lvlJc w:val="left"/>
    </w:lvl>
  </w:abstractNum>
  <w:abstractNum w:abstractNumId="2" w15:restartNumberingAfterBreak="0">
    <w:nsid w:val="026BAAE9"/>
    <w:multiLevelType w:val="hybridMultilevel"/>
    <w:tmpl w:val="DB0E5FAC"/>
    <w:lvl w:ilvl="0" w:tplc="E60A89B2">
      <w:start w:val="1"/>
      <w:numFmt w:val="decimal"/>
      <w:lvlText w:val="%1."/>
      <w:lvlJc w:val="left"/>
    </w:lvl>
    <w:lvl w:ilvl="1" w:tplc="FB1AD68C">
      <w:start w:val="1"/>
      <w:numFmt w:val="decimal"/>
      <w:lvlText w:val="%2"/>
      <w:lvlJc w:val="left"/>
    </w:lvl>
    <w:lvl w:ilvl="2" w:tplc="76DA0028">
      <w:numFmt w:val="decimal"/>
      <w:lvlText w:val=""/>
      <w:lvlJc w:val="left"/>
    </w:lvl>
    <w:lvl w:ilvl="3" w:tplc="43544F46">
      <w:numFmt w:val="decimal"/>
      <w:lvlText w:val=""/>
      <w:lvlJc w:val="left"/>
    </w:lvl>
    <w:lvl w:ilvl="4" w:tplc="BF687FD0">
      <w:numFmt w:val="decimal"/>
      <w:lvlText w:val=""/>
      <w:lvlJc w:val="left"/>
    </w:lvl>
    <w:lvl w:ilvl="5" w:tplc="D0F4CE80">
      <w:numFmt w:val="decimal"/>
      <w:lvlText w:val=""/>
      <w:lvlJc w:val="left"/>
    </w:lvl>
    <w:lvl w:ilvl="6" w:tplc="A9CC932E">
      <w:numFmt w:val="decimal"/>
      <w:lvlText w:val=""/>
      <w:lvlJc w:val="left"/>
    </w:lvl>
    <w:lvl w:ilvl="7" w:tplc="C338CD8C">
      <w:numFmt w:val="decimal"/>
      <w:lvlText w:val=""/>
      <w:lvlJc w:val="left"/>
    </w:lvl>
    <w:lvl w:ilvl="8" w:tplc="EDB4D4E2">
      <w:numFmt w:val="decimal"/>
      <w:lvlText w:val=""/>
      <w:lvlJc w:val="left"/>
    </w:lvl>
  </w:abstractNum>
  <w:abstractNum w:abstractNumId="3" w15:restartNumberingAfterBreak="0">
    <w:nsid w:val="0FA85F4D"/>
    <w:multiLevelType w:val="hybridMultilevel"/>
    <w:tmpl w:val="FDEE54CA"/>
    <w:lvl w:ilvl="0" w:tplc="5A0020D8">
      <w:start w:val="1"/>
      <w:numFmt w:val="bullet"/>
      <w:lvlText w:val="•"/>
      <w:lvlJc w:val="left"/>
    </w:lvl>
    <w:lvl w:ilvl="1" w:tplc="7DCEB298">
      <w:numFmt w:val="decimal"/>
      <w:lvlText w:val=""/>
      <w:lvlJc w:val="left"/>
    </w:lvl>
    <w:lvl w:ilvl="2" w:tplc="DCE02C46">
      <w:numFmt w:val="decimal"/>
      <w:lvlText w:val=""/>
      <w:lvlJc w:val="left"/>
    </w:lvl>
    <w:lvl w:ilvl="3" w:tplc="E50A426A">
      <w:numFmt w:val="decimal"/>
      <w:lvlText w:val=""/>
      <w:lvlJc w:val="left"/>
    </w:lvl>
    <w:lvl w:ilvl="4" w:tplc="6F5200C0">
      <w:numFmt w:val="decimal"/>
      <w:lvlText w:val=""/>
      <w:lvlJc w:val="left"/>
    </w:lvl>
    <w:lvl w:ilvl="5" w:tplc="3126FD80">
      <w:numFmt w:val="decimal"/>
      <w:lvlText w:val=""/>
      <w:lvlJc w:val="left"/>
    </w:lvl>
    <w:lvl w:ilvl="6" w:tplc="BFE2C5CE">
      <w:numFmt w:val="decimal"/>
      <w:lvlText w:val=""/>
      <w:lvlJc w:val="left"/>
    </w:lvl>
    <w:lvl w:ilvl="7" w:tplc="07188EA0">
      <w:numFmt w:val="decimal"/>
      <w:lvlText w:val=""/>
      <w:lvlJc w:val="left"/>
    </w:lvl>
    <w:lvl w:ilvl="8" w:tplc="187A83EA">
      <w:numFmt w:val="decimal"/>
      <w:lvlText w:val=""/>
      <w:lvlJc w:val="left"/>
    </w:lvl>
  </w:abstractNum>
  <w:abstractNum w:abstractNumId="4" w15:restartNumberingAfterBreak="0">
    <w:nsid w:val="1036B29F"/>
    <w:multiLevelType w:val="hybridMultilevel"/>
    <w:tmpl w:val="7340BD82"/>
    <w:lvl w:ilvl="0" w:tplc="C43499B2">
      <w:start w:val="1"/>
      <w:numFmt w:val="bullet"/>
      <w:lvlText w:val="•"/>
      <w:lvlJc w:val="left"/>
    </w:lvl>
    <w:lvl w:ilvl="1" w:tplc="E3D87CDE">
      <w:numFmt w:val="decimal"/>
      <w:lvlText w:val=""/>
      <w:lvlJc w:val="left"/>
    </w:lvl>
    <w:lvl w:ilvl="2" w:tplc="DE9473A0">
      <w:numFmt w:val="decimal"/>
      <w:lvlText w:val=""/>
      <w:lvlJc w:val="left"/>
    </w:lvl>
    <w:lvl w:ilvl="3" w:tplc="24D42EE0">
      <w:numFmt w:val="decimal"/>
      <w:lvlText w:val=""/>
      <w:lvlJc w:val="left"/>
    </w:lvl>
    <w:lvl w:ilvl="4" w:tplc="B810D3B8">
      <w:numFmt w:val="decimal"/>
      <w:lvlText w:val=""/>
      <w:lvlJc w:val="left"/>
    </w:lvl>
    <w:lvl w:ilvl="5" w:tplc="E09E95C8">
      <w:numFmt w:val="decimal"/>
      <w:lvlText w:val=""/>
      <w:lvlJc w:val="left"/>
    </w:lvl>
    <w:lvl w:ilvl="6" w:tplc="BF8E56E4">
      <w:numFmt w:val="decimal"/>
      <w:lvlText w:val=""/>
      <w:lvlJc w:val="left"/>
    </w:lvl>
    <w:lvl w:ilvl="7" w:tplc="C246AAD8">
      <w:numFmt w:val="decimal"/>
      <w:lvlText w:val=""/>
      <w:lvlJc w:val="left"/>
    </w:lvl>
    <w:lvl w:ilvl="8" w:tplc="D4741DFA">
      <w:numFmt w:val="decimal"/>
      <w:lvlText w:val=""/>
      <w:lvlJc w:val="left"/>
    </w:lvl>
  </w:abstractNum>
  <w:abstractNum w:abstractNumId="5" w15:restartNumberingAfterBreak="0">
    <w:nsid w:val="13E21002"/>
    <w:multiLevelType w:val="hybridMultilevel"/>
    <w:tmpl w:val="E1F61F80"/>
    <w:lvl w:ilvl="0" w:tplc="DC38FA58">
      <w:start w:val="3"/>
      <w:numFmt w:val="decimal"/>
      <w:lvlText w:val="%1."/>
      <w:lvlJc w:val="left"/>
    </w:lvl>
    <w:lvl w:ilvl="1" w:tplc="9260E190">
      <w:numFmt w:val="decimal"/>
      <w:lvlText w:val=""/>
      <w:lvlJc w:val="left"/>
    </w:lvl>
    <w:lvl w:ilvl="2" w:tplc="CE66A70C">
      <w:numFmt w:val="decimal"/>
      <w:lvlText w:val=""/>
      <w:lvlJc w:val="left"/>
    </w:lvl>
    <w:lvl w:ilvl="3" w:tplc="FA622ABC">
      <w:numFmt w:val="decimal"/>
      <w:lvlText w:val=""/>
      <w:lvlJc w:val="left"/>
    </w:lvl>
    <w:lvl w:ilvl="4" w:tplc="F1200818">
      <w:numFmt w:val="decimal"/>
      <w:lvlText w:val=""/>
      <w:lvlJc w:val="left"/>
    </w:lvl>
    <w:lvl w:ilvl="5" w:tplc="E758C8AA">
      <w:numFmt w:val="decimal"/>
      <w:lvlText w:val=""/>
      <w:lvlJc w:val="left"/>
    </w:lvl>
    <w:lvl w:ilvl="6" w:tplc="B8F2A01E">
      <w:numFmt w:val="decimal"/>
      <w:lvlText w:val=""/>
      <w:lvlJc w:val="left"/>
    </w:lvl>
    <w:lvl w:ilvl="7" w:tplc="1AF8165E">
      <w:numFmt w:val="decimal"/>
      <w:lvlText w:val=""/>
      <w:lvlJc w:val="left"/>
    </w:lvl>
    <w:lvl w:ilvl="8" w:tplc="88CA0D5C">
      <w:numFmt w:val="decimal"/>
      <w:lvlText w:val=""/>
      <w:lvlJc w:val="left"/>
    </w:lvl>
  </w:abstractNum>
  <w:abstractNum w:abstractNumId="6" w15:restartNumberingAfterBreak="0">
    <w:nsid w:val="1565AC99"/>
    <w:multiLevelType w:val="hybridMultilevel"/>
    <w:tmpl w:val="DD22EC9A"/>
    <w:lvl w:ilvl="0" w:tplc="7A9AE842">
      <w:start w:val="1"/>
      <w:numFmt w:val="bullet"/>
      <w:lvlText w:val="•"/>
      <w:lvlJc w:val="left"/>
    </w:lvl>
    <w:lvl w:ilvl="1" w:tplc="C3DA1E40">
      <w:numFmt w:val="decimal"/>
      <w:lvlText w:val=""/>
      <w:lvlJc w:val="left"/>
    </w:lvl>
    <w:lvl w:ilvl="2" w:tplc="08C61316">
      <w:numFmt w:val="decimal"/>
      <w:lvlText w:val=""/>
      <w:lvlJc w:val="left"/>
    </w:lvl>
    <w:lvl w:ilvl="3" w:tplc="BA88894C">
      <w:numFmt w:val="decimal"/>
      <w:lvlText w:val=""/>
      <w:lvlJc w:val="left"/>
    </w:lvl>
    <w:lvl w:ilvl="4" w:tplc="89808752">
      <w:numFmt w:val="decimal"/>
      <w:lvlText w:val=""/>
      <w:lvlJc w:val="left"/>
    </w:lvl>
    <w:lvl w:ilvl="5" w:tplc="CC58C352">
      <w:numFmt w:val="decimal"/>
      <w:lvlText w:val=""/>
      <w:lvlJc w:val="left"/>
    </w:lvl>
    <w:lvl w:ilvl="6" w:tplc="ADAA0748">
      <w:numFmt w:val="decimal"/>
      <w:lvlText w:val=""/>
      <w:lvlJc w:val="left"/>
    </w:lvl>
    <w:lvl w:ilvl="7" w:tplc="9F808F42">
      <w:numFmt w:val="decimal"/>
      <w:lvlText w:val=""/>
      <w:lvlJc w:val="left"/>
    </w:lvl>
    <w:lvl w:ilvl="8" w:tplc="61A0C9AA">
      <w:numFmt w:val="decimal"/>
      <w:lvlText w:val=""/>
      <w:lvlJc w:val="left"/>
    </w:lvl>
  </w:abstractNum>
  <w:abstractNum w:abstractNumId="7" w15:restartNumberingAfterBreak="0">
    <w:nsid w:val="1626FB8C"/>
    <w:multiLevelType w:val="hybridMultilevel"/>
    <w:tmpl w:val="CCF2D8FA"/>
    <w:lvl w:ilvl="0" w:tplc="69D0E15A">
      <w:start w:val="1"/>
      <w:numFmt w:val="bullet"/>
      <w:lvlText w:val="•"/>
      <w:lvlJc w:val="left"/>
    </w:lvl>
    <w:lvl w:ilvl="1" w:tplc="E29611B4">
      <w:numFmt w:val="decimal"/>
      <w:lvlText w:val=""/>
      <w:lvlJc w:val="left"/>
    </w:lvl>
    <w:lvl w:ilvl="2" w:tplc="9CDAE5F8">
      <w:numFmt w:val="decimal"/>
      <w:lvlText w:val=""/>
      <w:lvlJc w:val="left"/>
    </w:lvl>
    <w:lvl w:ilvl="3" w:tplc="FA309F80">
      <w:numFmt w:val="decimal"/>
      <w:lvlText w:val=""/>
      <w:lvlJc w:val="left"/>
    </w:lvl>
    <w:lvl w:ilvl="4" w:tplc="6E0E8394">
      <w:numFmt w:val="decimal"/>
      <w:lvlText w:val=""/>
      <w:lvlJc w:val="left"/>
    </w:lvl>
    <w:lvl w:ilvl="5" w:tplc="68D66D14">
      <w:numFmt w:val="decimal"/>
      <w:lvlText w:val=""/>
      <w:lvlJc w:val="left"/>
    </w:lvl>
    <w:lvl w:ilvl="6" w:tplc="3A2E68FC">
      <w:numFmt w:val="decimal"/>
      <w:lvlText w:val=""/>
      <w:lvlJc w:val="left"/>
    </w:lvl>
    <w:lvl w:ilvl="7" w:tplc="23605D48">
      <w:numFmt w:val="decimal"/>
      <w:lvlText w:val=""/>
      <w:lvlJc w:val="left"/>
    </w:lvl>
    <w:lvl w:ilvl="8" w:tplc="2FE85E98">
      <w:numFmt w:val="decimal"/>
      <w:lvlText w:val=""/>
      <w:lvlJc w:val="left"/>
    </w:lvl>
  </w:abstractNum>
  <w:abstractNum w:abstractNumId="8" w15:restartNumberingAfterBreak="0">
    <w:nsid w:val="168EFE17"/>
    <w:multiLevelType w:val="hybridMultilevel"/>
    <w:tmpl w:val="9E78E5CA"/>
    <w:lvl w:ilvl="0" w:tplc="F6F498D6">
      <w:start w:val="1"/>
      <w:numFmt w:val="bullet"/>
      <w:lvlText w:val="•"/>
      <w:lvlJc w:val="left"/>
    </w:lvl>
    <w:lvl w:ilvl="1" w:tplc="F7D445DA">
      <w:numFmt w:val="decimal"/>
      <w:lvlText w:val=""/>
      <w:lvlJc w:val="left"/>
    </w:lvl>
    <w:lvl w:ilvl="2" w:tplc="08CE2C7A">
      <w:numFmt w:val="decimal"/>
      <w:lvlText w:val=""/>
      <w:lvlJc w:val="left"/>
    </w:lvl>
    <w:lvl w:ilvl="3" w:tplc="9D02EDE2">
      <w:numFmt w:val="decimal"/>
      <w:lvlText w:val=""/>
      <w:lvlJc w:val="left"/>
    </w:lvl>
    <w:lvl w:ilvl="4" w:tplc="ADC051CE">
      <w:numFmt w:val="decimal"/>
      <w:lvlText w:val=""/>
      <w:lvlJc w:val="left"/>
    </w:lvl>
    <w:lvl w:ilvl="5" w:tplc="E3C47356">
      <w:numFmt w:val="decimal"/>
      <w:lvlText w:val=""/>
      <w:lvlJc w:val="left"/>
    </w:lvl>
    <w:lvl w:ilvl="6" w:tplc="07385096">
      <w:numFmt w:val="decimal"/>
      <w:lvlText w:val=""/>
      <w:lvlJc w:val="left"/>
    </w:lvl>
    <w:lvl w:ilvl="7" w:tplc="01020D4C">
      <w:numFmt w:val="decimal"/>
      <w:lvlText w:val=""/>
      <w:lvlJc w:val="left"/>
    </w:lvl>
    <w:lvl w:ilvl="8" w:tplc="668C8B96">
      <w:numFmt w:val="decimal"/>
      <w:lvlText w:val=""/>
      <w:lvlJc w:val="left"/>
    </w:lvl>
  </w:abstractNum>
  <w:abstractNum w:abstractNumId="9" w15:restartNumberingAfterBreak="0">
    <w:nsid w:val="178F7B67"/>
    <w:multiLevelType w:val="hybridMultilevel"/>
    <w:tmpl w:val="388EED02"/>
    <w:lvl w:ilvl="0" w:tplc="FE20BC5C">
      <w:start w:val="1"/>
      <w:numFmt w:val="bullet"/>
      <w:lvlText w:val="•"/>
      <w:lvlJc w:val="left"/>
    </w:lvl>
    <w:lvl w:ilvl="1" w:tplc="B63C9174">
      <w:numFmt w:val="decimal"/>
      <w:lvlText w:val=""/>
      <w:lvlJc w:val="left"/>
    </w:lvl>
    <w:lvl w:ilvl="2" w:tplc="A9F83844">
      <w:numFmt w:val="decimal"/>
      <w:lvlText w:val=""/>
      <w:lvlJc w:val="left"/>
    </w:lvl>
    <w:lvl w:ilvl="3" w:tplc="0CCC4E46">
      <w:numFmt w:val="decimal"/>
      <w:lvlText w:val=""/>
      <w:lvlJc w:val="left"/>
    </w:lvl>
    <w:lvl w:ilvl="4" w:tplc="5A7EFC54">
      <w:numFmt w:val="decimal"/>
      <w:lvlText w:val=""/>
      <w:lvlJc w:val="left"/>
    </w:lvl>
    <w:lvl w:ilvl="5" w:tplc="DDF81D0E">
      <w:numFmt w:val="decimal"/>
      <w:lvlText w:val=""/>
      <w:lvlJc w:val="left"/>
    </w:lvl>
    <w:lvl w:ilvl="6" w:tplc="FDFC42B8">
      <w:numFmt w:val="decimal"/>
      <w:lvlText w:val=""/>
      <w:lvlJc w:val="left"/>
    </w:lvl>
    <w:lvl w:ilvl="7" w:tplc="EFECBFFE">
      <w:numFmt w:val="decimal"/>
      <w:lvlText w:val=""/>
      <w:lvlJc w:val="left"/>
    </w:lvl>
    <w:lvl w:ilvl="8" w:tplc="FA16BCBE">
      <w:numFmt w:val="decimal"/>
      <w:lvlText w:val=""/>
      <w:lvlJc w:val="left"/>
    </w:lvl>
  </w:abstractNum>
  <w:abstractNum w:abstractNumId="10" w15:restartNumberingAfterBreak="0">
    <w:nsid w:val="19FB2650"/>
    <w:multiLevelType w:val="hybridMultilevel"/>
    <w:tmpl w:val="231A1812"/>
    <w:lvl w:ilvl="0" w:tplc="E5FC7144">
      <w:start w:val="1"/>
      <w:numFmt w:val="bullet"/>
      <w:lvlText w:val="•"/>
      <w:lvlJc w:val="left"/>
    </w:lvl>
    <w:lvl w:ilvl="1" w:tplc="D0FE4912">
      <w:numFmt w:val="decimal"/>
      <w:lvlText w:val=""/>
      <w:lvlJc w:val="left"/>
    </w:lvl>
    <w:lvl w:ilvl="2" w:tplc="C2D4FA26">
      <w:numFmt w:val="decimal"/>
      <w:lvlText w:val=""/>
      <w:lvlJc w:val="left"/>
    </w:lvl>
    <w:lvl w:ilvl="3" w:tplc="4926CE1E">
      <w:numFmt w:val="decimal"/>
      <w:lvlText w:val=""/>
      <w:lvlJc w:val="left"/>
    </w:lvl>
    <w:lvl w:ilvl="4" w:tplc="0214F8E8">
      <w:numFmt w:val="decimal"/>
      <w:lvlText w:val=""/>
      <w:lvlJc w:val="left"/>
    </w:lvl>
    <w:lvl w:ilvl="5" w:tplc="6ACECB5C">
      <w:numFmt w:val="decimal"/>
      <w:lvlText w:val=""/>
      <w:lvlJc w:val="left"/>
    </w:lvl>
    <w:lvl w:ilvl="6" w:tplc="47BC819A">
      <w:numFmt w:val="decimal"/>
      <w:lvlText w:val=""/>
      <w:lvlJc w:val="left"/>
    </w:lvl>
    <w:lvl w:ilvl="7" w:tplc="5BD2DBEE">
      <w:numFmt w:val="decimal"/>
      <w:lvlText w:val=""/>
      <w:lvlJc w:val="left"/>
    </w:lvl>
    <w:lvl w:ilvl="8" w:tplc="CBCE2A04">
      <w:numFmt w:val="decimal"/>
      <w:lvlText w:val=""/>
      <w:lvlJc w:val="left"/>
    </w:lvl>
  </w:abstractNum>
  <w:abstractNum w:abstractNumId="11" w15:restartNumberingAfterBreak="0">
    <w:nsid w:val="1D206B8E"/>
    <w:multiLevelType w:val="hybridMultilevel"/>
    <w:tmpl w:val="6E10E60A"/>
    <w:lvl w:ilvl="0" w:tplc="B45A5EAA">
      <w:start w:val="6"/>
      <w:numFmt w:val="decimal"/>
      <w:lvlText w:val="%1."/>
      <w:lvlJc w:val="left"/>
    </w:lvl>
    <w:lvl w:ilvl="1" w:tplc="3796F70A">
      <w:numFmt w:val="decimal"/>
      <w:lvlText w:val=""/>
      <w:lvlJc w:val="left"/>
    </w:lvl>
    <w:lvl w:ilvl="2" w:tplc="C2723F54">
      <w:numFmt w:val="decimal"/>
      <w:lvlText w:val=""/>
      <w:lvlJc w:val="left"/>
    </w:lvl>
    <w:lvl w:ilvl="3" w:tplc="0122D66A">
      <w:numFmt w:val="decimal"/>
      <w:lvlText w:val=""/>
      <w:lvlJc w:val="left"/>
    </w:lvl>
    <w:lvl w:ilvl="4" w:tplc="5BCE535E">
      <w:numFmt w:val="decimal"/>
      <w:lvlText w:val=""/>
      <w:lvlJc w:val="left"/>
    </w:lvl>
    <w:lvl w:ilvl="5" w:tplc="BDCCCAD4">
      <w:numFmt w:val="decimal"/>
      <w:lvlText w:val=""/>
      <w:lvlJc w:val="left"/>
    </w:lvl>
    <w:lvl w:ilvl="6" w:tplc="D2105FE0">
      <w:numFmt w:val="decimal"/>
      <w:lvlText w:val=""/>
      <w:lvlJc w:val="left"/>
    </w:lvl>
    <w:lvl w:ilvl="7" w:tplc="763A2DF2">
      <w:numFmt w:val="decimal"/>
      <w:lvlText w:val=""/>
      <w:lvlJc w:val="left"/>
    </w:lvl>
    <w:lvl w:ilvl="8" w:tplc="FDC04AC0">
      <w:numFmt w:val="decimal"/>
      <w:lvlText w:val=""/>
      <w:lvlJc w:val="left"/>
    </w:lvl>
  </w:abstractNum>
  <w:abstractNum w:abstractNumId="12" w15:restartNumberingAfterBreak="0">
    <w:nsid w:val="1F0E5D0D"/>
    <w:multiLevelType w:val="hybridMultilevel"/>
    <w:tmpl w:val="D578E840"/>
    <w:lvl w:ilvl="0" w:tplc="9E780360">
      <w:start w:val="1"/>
      <w:numFmt w:val="decimal"/>
      <w:lvlText w:val="%1."/>
      <w:lvlJc w:val="left"/>
    </w:lvl>
    <w:lvl w:ilvl="1" w:tplc="B950B598">
      <w:start w:val="1"/>
      <w:numFmt w:val="decimal"/>
      <w:lvlText w:val="%2"/>
      <w:lvlJc w:val="left"/>
    </w:lvl>
    <w:lvl w:ilvl="2" w:tplc="05CA7340">
      <w:numFmt w:val="decimal"/>
      <w:lvlText w:val=""/>
      <w:lvlJc w:val="left"/>
    </w:lvl>
    <w:lvl w:ilvl="3" w:tplc="FACE5D68">
      <w:numFmt w:val="decimal"/>
      <w:lvlText w:val=""/>
      <w:lvlJc w:val="left"/>
    </w:lvl>
    <w:lvl w:ilvl="4" w:tplc="E81E8312">
      <w:numFmt w:val="decimal"/>
      <w:lvlText w:val=""/>
      <w:lvlJc w:val="left"/>
    </w:lvl>
    <w:lvl w:ilvl="5" w:tplc="E6A4D3A0">
      <w:numFmt w:val="decimal"/>
      <w:lvlText w:val=""/>
      <w:lvlJc w:val="left"/>
    </w:lvl>
    <w:lvl w:ilvl="6" w:tplc="3B220FF2">
      <w:numFmt w:val="decimal"/>
      <w:lvlText w:val=""/>
      <w:lvlJc w:val="left"/>
    </w:lvl>
    <w:lvl w:ilvl="7" w:tplc="FE942168">
      <w:numFmt w:val="decimal"/>
      <w:lvlText w:val=""/>
      <w:lvlJc w:val="left"/>
    </w:lvl>
    <w:lvl w:ilvl="8" w:tplc="D354FD94">
      <w:numFmt w:val="decimal"/>
      <w:lvlText w:val=""/>
      <w:lvlJc w:val="left"/>
    </w:lvl>
  </w:abstractNum>
  <w:abstractNum w:abstractNumId="13" w15:restartNumberingAfterBreak="0">
    <w:nsid w:val="22F13DF3"/>
    <w:multiLevelType w:val="hybridMultilevel"/>
    <w:tmpl w:val="55007BA0"/>
    <w:lvl w:ilvl="0" w:tplc="389AC624">
      <w:start w:val="1"/>
      <w:numFmt w:val="bullet"/>
      <w:lvlText w:val="•"/>
      <w:lvlJc w:val="left"/>
    </w:lvl>
    <w:lvl w:ilvl="1" w:tplc="EC18EDBA">
      <w:numFmt w:val="decimal"/>
      <w:lvlText w:val=""/>
      <w:lvlJc w:val="left"/>
    </w:lvl>
    <w:lvl w:ilvl="2" w:tplc="89AAD21A">
      <w:numFmt w:val="decimal"/>
      <w:lvlText w:val=""/>
      <w:lvlJc w:val="left"/>
    </w:lvl>
    <w:lvl w:ilvl="3" w:tplc="B9C8E73A">
      <w:numFmt w:val="decimal"/>
      <w:lvlText w:val=""/>
      <w:lvlJc w:val="left"/>
    </w:lvl>
    <w:lvl w:ilvl="4" w:tplc="39A603DC">
      <w:numFmt w:val="decimal"/>
      <w:lvlText w:val=""/>
      <w:lvlJc w:val="left"/>
    </w:lvl>
    <w:lvl w:ilvl="5" w:tplc="77B03ED0">
      <w:numFmt w:val="decimal"/>
      <w:lvlText w:val=""/>
      <w:lvlJc w:val="left"/>
    </w:lvl>
    <w:lvl w:ilvl="6" w:tplc="1C82F4A0">
      <w:numFmt w:val="decimal"/>
      <w:lvlText w:val=""/>
      <w:lvlJc w:val="left"/>
    </w:lvl>
    <w:lvl w:ilvl="7" w:tplc="43F45B9C">
      <w:numFmt w:val="decimal"/>
      <w:lvlText w:val=""/>
      <w:lvlJc w:val="left"/>
    </w:lvl>
    <w:lvl w:ilvl="8" w:tplc="CD14ED66">
      <w:numFmt w:val="decimal"/>
      <w:lvlText w:val=""/>
      <w:lvlJc w:val="left"/>
    </w:lvl>
  </w:abstractNum>
  <w:abstractNum w:abstractNumId="14" w15:restartNumberingAfterBreak="0">
    <w:nsid w:val="2421DFCF"/>
    <w:multiLevelType w:val="hybridMultilevel"/>
    <w:tmpl w:val="6E481810"/>
    <w:lvl w:ilvl="0" w:tplc="883003B8">
      <w:start w:val="1"/>
      <w:numFmt w:val="bullet"/>
      <w:lvlText w:val="•"/>
      <w:lvlJc w:val="left"/>
    </w:lvl>
    <w:lvl w:ilvl="1" w:tplc="0A7A28BC">
      <w:numFmt w:val="decimal"/>
      <w:lvlText w:val=""/>
      <w:lvlJc w:val="left"/>
    </w:lvl>
    <w:lvl w:ilvl="2" w:tplc="18FE16F6">
      <w:numFmt w:val="decimal"/>
      <w:lvlText w:val=""/>
      <w:lvlJc w:val="left"/>
    </w:lvl>
    <w:lvl w:ilvl="3" w:tplc="4A30750C">
      <w:numFmt w:val="decimal"/>
      <w:lvlText w:val=""/>
      <w:lvlJc w:val="left"/>
    </w:lvl>
    <w:lvl w:ilvl="4" w:tplc="BABC66A0">
      <w:numFmt w:val="decimal"/>
      <w:lvlText w:val=""/>
      <w:lvlJc w:val="left"/>
    </w:lvl>
    <w:lvl w:ilvl="5" w:tplc="73167114">
      <w:numFmt w:val="decimal"/>
      <w:lvlText w:val=""/>
      <w:lvlJc w:val="left"/>
    </w:lvl>
    <w:lvl w:ilvl="6" w:tplc="72A0C136">
      <w:numFmt w:val="decimal"/>
      <w:lvlText w:val=""/>
      <w:lvlJc w:val="left"/>
    </w:lvl>
    <w:lvl w:ilvl="7" w:tplc="B86818C4">
      <w:numFmt w:val="decimal"/>
      <w:lvlText w:val=""/>
      <w:lvlJc w:val="left"/>
    </w:lvl>
    <w:lvl w:ilvl="8" w:tplc="5B94B04C">
      <w:numFmt w:val="decimal"/>
      <w:lvlText w:val=""/>
      <w:lvlJc w:val="left"/>
    </w:lvl>
  </w:abstractNum>
  <w:abstractNum w:abstractNumId="15" w15:restartNumberingAfterBreak="0">
    <w:nsid w:val="257D63F4"/>
    <w:multiLevelType w:val="hybridMultilevel"/>
    <w:tmpl w:val="E4E253FC"/>
    <w:lvl w:ilvl="0" w:tplc="7F88E28C">
      <w:start w:val="1"/>
      <w:numFmt w:val="bullet"/>
      <w:lvlText w:val="•"/>
      <w:lvlJc w:val="left"/>
    </w:lvl>
    <w:lvl w:ilvl="1" w:tplc="BDF4B6B4">
      <w:numFmt w:val="decimal"/>
      <w:lvlText w:val=""/>
      <w:lvlJc w:val="left"/>
    </w:lvl>
    <w:lvl w:ilvl="2" w:tplc="8E108D92">
      <w:numFmt w:val="decimal"/>
      <w:lvlText w:val=""/>
      <w:lvlJc w:val="left"/>
    </w:lvl>
    <w:lvl w:ilvl="3" w:tplc="A294A7D4">
      <w:numFmt w:val="decimal"/>
      <w:lvlText w:val=""/>
      <w:lvlJc w:val="left"/>
    </w:lvl>
    <w:lvl w:ilvl="4" w:tplc="FE7460BE">
      <w:numFmt w:val="decimal"/>
      <w:lvlText w:val=""/>
      <w:lvlJc w:val="left"/>
    </w:lvl>
    <w:lvl w:ilvl="5" w:tplc="ECF4CDA8">
      <w:numFmt w:val="decimal"/>
      <w:lvlText w:val=""/>
      <w:lvlJc w:val="left"/>
    </w:lvl>
    <w:lvl w:ilvl="6" w:tplc="6060AE40">
      <w:numFmt w:val="decimal"/>
      <w:lvlText w:val=""/>
      <w:lvlJc w:val="left"/>
    </w:lvl>
    <w:lvl w:ilvl="7" w:tplc="4F6E88AE">
      <w:numFmt w:val="decimal"/>
      <w:lvlText w:val=""/>
      <w:lvlJc w:val="left"/>
    </w:lvl>
    <w:lvl w:ilvl="8" w:tplc="16841AA2">
      <w:numFmt w:val="decimal"/>
      <w:lvlText w:val=""/>
      <w:lvlJc w:val="left"/>
    </w:lvl>
  </w:abstractNum>
  <w:abstractNum w:abstractNumId="16" w15:restartNumberingAfterBreak="0">
    <w:nsid w:val="2C02FE8C"/>
    <w:multiLevelType w:val="hybridMultilevel"/>
    <w:tmpl w:val="894CB97A"/>
    <w:lvl w:ilvl="0" w:tplc="F1C6B990">
      <w:start w:val="1"/>
      <w:numFmt w:val="bullet"/>
      <w:lvlText w:val="•"/>
      <w:lvlJc w:val="left"/>
    </w:lvl>
    <w:lvl w:ilvl="1" w:tplc="60A86DC0">
      <w:numFmt w:val="decimal"/>
      <w:lvlText w:val=""/>
      <w:lvlJc w:val="left"/>
    </w:lvl>
    <w:lvl w:ilvl="2" w:tplc="F02A4186">
      <w:numFmt w:val="decimal"/>
      <w:lvlText w:val=""/>
      <w:lvlJc w:val="left"/>
    </w:lvl>
    <w:lvl w:ilvl="3" w:tplc="1C72C51C">
      <w:numFmt w:val="decimal"/>
      <w:lvlText w:val=""/>
      <w:lvlJc w:val="left"/>
    </w:lvl>
    <w:lvl w:ilvl="4" w:tplc="67325366">
      <w:numFmt w:val="decimal"/>
      <w:lvlText w:val=""/>
      <w:lvlJc w:val="left"/>
    </w:lvl>
    <w:lvl w:ilvl="5" w:tplc="EDF443EE">
      <w:numFmt w:val="decimal"/>
      <w:lvlText w:val=""/>
      <w:lvlJc w:val="left"/>
    </w:lvl>
    <w:lvl w:ilvl="6" w:tplc="5B02F3CC">
      <w:numFmt w:val="decimal"/>
      <w:lvlText w:val=""/>
      <w:lvlJc w:val="left"/>
    </w:lvl>
    <w:lvl w:ilvl="7" w:tplc="6128B7AE">
      <w:numFmt w:val="decimal"/>
      <w:lvlText w:val=""/>
      <w:lvlJc w:val="left"/>
    </w:lvl>
    <w:lvl w:ilvl="8" w:tplc="29C4B82E">
      <w:numFmt w:val="decimal"/>
      <w:lvlText w:val=""/>
      <w:lvlJc w:val="left"/>
    </w:lvl>
  </w:abstractNum>
  <w:abstractNum w:abstractNumId="17" w15:restartNumberingAfterBreak="0">
    <w:nsid w:val="2EDA00ED"/>
    <w:multiLevelType w:val="hybridMultilevel"/>
    <w:tmpl w:val="48160672"/>
    <w:lvl w:ilvl="0" w:tplc="A2F06C32">
      <w:start w:val="1"/>
      <w:numFmt w:val="bullet"/>
      <w:lvlText w:val="•"/>
      <w:lvlJc w:val="left"/>
    </w:lvl>
    <w:lvl w:ilvl="1" w:tplc="32AEA380">
      <w:numFmt w:val="decimal"/>
      <w:lvlText w:val=""/>
      <w:lvlJc w:val="left"/>
    </w:lvl>
    <w:lvl w:ilvl="2" w:tplc="E5D48C50">
      <w:numFmt w:val="decimal"/>
      <w:lvlText w:val=""/>
      <w:lvlJc w:val="left"/>
    </w:lvl>
    <w:lvl w:ilvl="3" w:tplc="4072A462">
      <w:numFmt w:val="decimal"/>
      <w:lvlText w:val=""/>
      <w:lvlJc w:val="left"/>
    </w:lvl>
    <w:lvl w:ilvl="4" w:tplc="C47EA8E0">
      <w:numFmt w:val="decimal"/>
      <w:lvlText w:val=""/>
      <w:lvlJc w:val="left"/>
    </w:lvl>
    <w:lvl w:ilvl="5" w:tplc="0E3209D6">
      <w:numFmt w:val="decimal"/>
      <w:lvlText w:val=""/>
      <w:lvlJc w:val="left"/>
    </w:lvl>
    <w:lvl w:ilvl="6" w:tplc="D14CE872">
      <w:numFmt w:val="decimal"/>
      <w:lvlText w:val=""/>
      <w:lvlJc w:val="left"/>
    </w:lvl>
    <w:lvl w:ilvl="7" w:tplc="DFB6D17A">
      <w:numFmt w:val="decimal"/>
      <w:lvlText w:val=""/>
      <w:lvlJc w:val="left"/>
    </w:lvl>
    <w:lvl w:ilvl="8" w:tplc="E87C9CDA">
      <w:numFmt w:val="decimal"/>
      <w:lvlText w:val=""/>
      <w:lvlJc w:val="left"/>
    </w:lvl>
  </w:abstractNum>
  <w:abstractNum w:abstractNumId="18" w15:restartNumberingAfterBreak="0">
    <w:nsid w:val="3957756A"/>
    <w:multiLevelType w:val="hybridMultilevel"/>
    <w:tmpl w:val="7E1C65D4"/>
    <w:lvl w:ilvl="0" w:tplc="D7F46414">
      <w:start w:val="1"/>
      <w:numFmt w:val="bullet"/>
      <w:lvlText w:val="•"/>
      <w:lvlJc w:val="left"/>
    </w:lvl>
    <w:lvl w:ilvl="1" w:tplc="CC300652">
      <w:numFmt w:val="decimal"/>
      <w:lvlText w:val=""/>
      <w:lvlJc w:val="left"/>
    </w:lvl>
    <w:lvl w:ilvl="2" w:tplc="E61C5AE2">
      <w:numFmt w:val="decimal"/>
      <w:lvlText w:val=""/>
      <w:lvlJc w:val="left"/>
    </w:lvl>
    <w:lvl w:ilvl="3" w:tplc="2CCABCB8">
      <w:numFmt w:val="decimal"/>
      <w:lvlText w:val=""/>
      <w:lvlJc w:val="left"/>
    </w:lvl>
    <w:lvl w:ilvl="4" w:tplc="88D864E8">
      <w:numFmt w:val="decimal"/>
      <w:lvlText w:val=""/>
      <w:lvlJc w:val="left"/>
    </w:lvl>
    <w:lvl w:ilvl="5" w:tplc="B7E0B180">
      <w:numFmt w:val="decimal"/>
      <w:lvlText w:val=""/>
      <w:lvlJc w:val="left"/>
    </w:lvl>
    <w:lvl w:ilvl="6" w:tplc="FE5A6392">
      <w:numFmt w:val="decimal"/>
      <w:lvlText w:val=""/>
      <w:lvlJc w:val="left"/>
    </w:lvl>
    <w:lvl w:ilvl="7" w:tplc="4A34062E">
      <w:numFmt w:val="decimal"/>
      <w:lvlText w:val=""/>
      <w:lvlJc w:val="left"/>
    </w:lvl>
    <w:lvl w:ilvl="8" w:tplc="8B7EFED0">
      <w:numFmt w:val="decimal"/>
      <w:lvlText w:val=""/>
      <w:lvlJc w:val="left"/>
    </w:lvl>
  </w:abstractNum>
  <w:abstractNum w:abstractNumId="19" w15:restartNumberingAfterBreak="0">
    <w:nsid w:val="3CE732EC"/>
    <w:multiLevelType w:val="hybridMultilevel"/>
    <w:tmpl w:val="6BB44F38"/>
    <w:lvl w:ilvl="0" w:tplc="8EEA480A">
      <w:start w:val="1"/>
      <w:numFmt w:val="bullet"/>
      <w:lvlText w:val="•"/>
      <w:lvlJc w:val="left"/>
    </w:lvl>
    <w:lvl w:ilvl="1" w:tplc="0D0AA668">
      <w:numFmt w:val="decimal"/>
      <w:lvlText w:val=""/>
      <w:lvlJc w:val="left"/>
    </w:lvl>
    <w:lvl w:ilvl="2" w:tplc="89CAA282">
      <w:numFmt w:val="decimal"/>
      <w:lvlText w:val=""/>
      <w:lvlJc w:val="left"/>
    </w:lvl>
    <w:lvl w:ilvl="3" w:tplc="D81AEF68">
      <w:numFmt w:val="decimal"/>
      <w:lvlText w:val=""/>
      <w:lvlJc w:val="left"/>
    </w:lvl>
    <w:lvl w:ilvl="4" w:tplc="20909602">
      <w:numFmt w:val="decimal"/>
      <w:lvlText w:val=""/>
      <w:lvlJc w:val="left"/>
    </w:lvl>
    <w:lvl w:ilvl="5" w:tplc="40FA1C2C">
      <w:numFmt w:val="decimal"/>
      <w:lvlText w:val=""/>
      <w:lvlJc w:val="left"/>
    </w:lvl>
    <w:lvl w:ilvl="6" w:tplc="228A9528">
      <w:numFmt w:val="decimal"/>
      <w:lvlText w:val=""/>
      <w:lvlJc w:val="left"/>
    </w:lvl>
    <w:lvl w:ilvl="7" w:tplc="BB90FE24">
      <w:numFmt w:val="decimal"/>
      <w:lvlText w:val=""/>
      <w:lvlJc w:val="left"/>
    </w:lvl>
    <w:lvl w:ilvl="8" w:tplc="5E4ABD36">
      <w:numFmt w:val="decimal"/>
      <w:lvlText w:val=""/>
      <w:lvlJc w:val="left"/>
    </w:lvl>
  </w:abstractNum>
  <w:abstractNum w:abstractNumId="20" w15:restartNumberingAfterBreak="0">
    <w:nsid w:val="3E6DA1C7"/>
    <w:multiLevelType w:val="hybridMultilevel"/>
    <w:tmpl w:val="003EC8FE"/>
    <w:lvl w:ilvl="0" w:tplc="503A4530">
      <w:start w:val="1"/>
      <w:numFmt w:val="bullet"/>
      <w:lvlText w:val="•"/>
      <w:lvlJc w:val="left"/>
    </w:lvl>
    <w:lvl w:ilvl="1" w:tplc="C13CBF3A">
      <w:numFmt w:val="decimal"/>
      <w:lvlText w:val=""/>
      <w:lvlJc w:val="left"/>
    </w:lvl>
    <w:lvl w:ilvl="2" w:tplc="C6681E8E">
      <w:numFmt w:val="decimal"/>
      <w:lvlText w:val=""/>
      <w:lvlJc w:val="left"/>
    </w:lvl>
    <w:lvl w:ilvl="3" w:tplc="72B28DF0">
      <w:numFmt w:val="decimal"/>
      <w:lvlText w:val=""/>
      <w:lvlJc w:val="left"/>
    </w:lvl>
    <w:lvl w:ilvl="4" w:tplc="AA285CE8">
      <w:numFmt w:val="decimal"/>
      <w:lvlText w:val=""/>
      <w:lvlJc w:val="left"/>
    </w:lvl>
    <w:lvl w:ilvl="5" w:tplc="9D4CD27C">
      <w:numFmt w:val="decimal"/>
      <w:lvlText w:val=""/>
      <w:lvlJc w:val="left"/>
    </w:lvl>
    <w:lvl w:ilvl="6" w:tplc="7FF089C2">
      <w:numFmt w:val="decimal"/>
      <w:lvlText w:val=""/>
      <w:lvlJc w:val="left"/>
    </w:lvl>
    <w:lvl w:ilvl="7" w:tplc="72768282">
      <w:numFmt w:val="decimal"/>
      <w:lvlText w:val=""/>
      <w:lvlJc w:val="left"/>
    </w:lvl>
    <w:lvl w:ilvl="8" w:tplc="3BF22EB0">
      <w:numFmt w:val="decimal"/>
      <w:lvlText w:val=""/>
      <w:lvlJc w:val="left"/>
    </w:lvl>
  </w:abstractNum>
  <w:abstractNum w:abstractNumId="21" w15:restartNumberingAfterBreak="0">
    <w:nsid w:val="48249DBF"/>
    <w:multiLevelType w:val="hybridMultilevel"/>
    <w:tmpl w:val="29AC0F8C"/>
    <w:lvl w:ilvl="0" w:tplc="C1E866AE">
      <w:start w:val="1"/>
      <w:numFmt w:val="bullet"/>
      <w:lvlText w:val="•"/>
      <w:lvlJc w:val="left"/>
    </w:lvl>
    <w:lvl w:ilvl="1" w:tplc="BE0687EA">
      <w:numFmt w:val="decimal"/>
      <w:lvlText w:val=""/>
      <w:lvlJc w:val="left"/>
    </w:lvl>
    <w:lvl w:ilvl="2" w:tplc="8536CDE8">
      <w:numFmt w:val="decimal"/>
      <w:lvlText w:val=""/>
      <w:lvlJc w:val="left"/>
    </w:lvl>
    <w:lvl w:ilvl="3" w:tplc="EB82720C">
      <w:numFmt w:val="decimal"/>
      <w:lvlText w:val=""/>
      <w:lvlJc w:val="left"/>
    </w:lvl>
    <w:lvl w:ilvl="4" w:tplc="B9FC8E28">
      <w:numFmt w:val="decimal"/>
      <w:lvlText w:val=""/>
      <w:lvlJc w:val="left"/>
    </w:lvl>
    <w:lvl w:ilvl="5" w:tplc="3704F170">
      <w:numFmt w:val="decimal"/>
      <w:lvlText w:val=""/>
      <w:lvlJc w:val="left"/>
    </w:lvl>
    <w:lvl w:ilvl="6" w:tplc="126E7040">
      <w:numFmt w:val="decimal"/>
      <w:lvlText w:val=""/>
      <w:lvlJc w:val="left"/>
    </w:lvl>
    <w:lvl w:ilvl="7" w:tplc="D47C1C2C">
      <w:numFmt w:val="decimal"/>
      <w:lvlText w:val=""/>
      <w:lvlJc w:val="left"/>
    </w:lvl>
    <w:lvl w:ilvl="8" w:tplc="1EDC5CBA">
      <w:numFmt w:val="decimal"/>
      <w:lvlText w:val=""/>
      <w:lvlJc w:val="left"/>
    </w:lvl>
  </w:abstractNum>
  <w:abstractNum w:abstractNumId="22" w15:restartNumberingAfterBreak="0">
    <w:nsid w:val="4CFB8D32"/>
    <w:multiLevelType w:val="hybridMultilevel"/>
    <w:tmpl w:val="6FD6DD76"/>
    <w:lvl w:ilvl="0" w:tplc="829C3BEC">
      <w:start w:val="1"/>
      <w:numFmt w:val="bullet"/>
      <w:lvlText w:val="•"/>
      <w:lvlJc w:val="left"/>
    </w:lvl>
    <w:lvl w:ilvl="1" w:tplc="3442228A">
      <w:start w:val="2"/>
      <w:numFmt w:val="decimal"/>
      <w:lvlText w:val="%2."/>
      <w:lvlJc w:val="left"/>
    </w:lvl>
    <w:lvl w:ilvl="2" w:tplc="7966B26C">
      <w:numFmt w:val="decimal"/>
      <w:lvlText w:val=""/>
      <w:lvlJc w:val="left"/>
    </w:lvl>
    <w:lvl w:ilvl="3" w:tplc="8BF6E8E4">
      <w:numFmt w:val="decimal"/>
      <w:lvlText w:val=""/>
      <w:lvlJc w:val="left"/>
    </w:lvl>
    <w:lvl w:ilvl="4" w:tplc="2C9A8E34">
      <w:numFmt w:val="decimal"/>
      <w:lvlText w:val=""/>
      <w:lvlJc w:val="left"/>
    </w:lvl>
    <w:lvl w:ilvl="5" w:tplc="DF10213C">
      <w:numFmt w:val="decimal"/>
      <w:lvlText w:val=""/>
      <w:lvlJc w:val="left"/>
    </w:lvl>
    <w:lvl w:ilvl="6" w:tplc="7D9097F4">
      <w:numFmt w:val="decimal"/>
      <w:lvlText w:val=""/>
      <w:lvlJc w:val="left"/>
    </w:lvl>
    <w:lvl w:ilvl="7" w:tplc="0DD85EA0">
      <w:numFmt w:val="decimal"/>
      <w:lvlText w:val=""/>
      <w:lvlJc w:val="left"/>
    </w:lvl>
    <w:lvl w:ilvl="8" w:tplc="86B44130">
      <w:numFmt w:val="decimal"/>
      <w:lvlText w:val=""/>
      <w:lvlJc w:val="left"/>
    </w:lvl>
  </w:abstractNum>
  <w:abstractNum w:abstractNumId="23" w15:restartNumberingAfterBreak="0">
    <w:nsid w:val="4FC4D600"/>
    <w:multiLevelType w:val="hybridMultilevel"/>
    <w:tmpl w:val="B2DE866C"/>
    <w:lvl w:ilvl="0" w:tplc="54768612">
      <w:start w:val="1"/>
      <w:numFmt w:val="bullet"/>
      <w:lvlText w:val="•"/>
      <w:lvlJc w:val="left"/>
    </w:lvl>
    <w:lvl w:ilvl="1" w:tplc="D4DEDF0E">
      <w:numFmt w:val="decimal"/>
      <w:lvlText w:val=""/>
      <w:lvlJc w:val="left"/>
    </w:lvl>
    <w:lvl w:ilvl="2" w:tplc="BD1A1060">
      <w:numFmt w:val="decimal"/>
      <w:lvlText w:val=""/>
      <w:lvlJc w:val="left"/>
    </w:lvl>
    <w:lvl w:ilvl="3" w:tplc="AEE4F914">
      <w:numFmt w:val="decimal"/>
      <w:lvlText w:val=""/>
      <w:lvlJc w:val="left"/>
    </w:lvl>
    <w:lvl w:ilvl="4" w:tplc="38206C80">
      <w:numFmt w:val="decimal"/>
      <w:lvlText w:val=""/>
      <w:lvlJc w:val="left"/>
    </w:lvl>
    <w:lvl w:ilvl="5" w:tplc="F75E5B32">
      <w:numFmt w:val="decimal"/>
      <w:lvlText w:val=""/>
      <w:lvlJc w:val="left"/>
    </w:lvl>
    <w:lvl w:ilvl="6" w:tplc="E56E6B38">
      <w:numFmt w:val="decimal"/>
      <w:lvlText w:val=""/>
      <w:lvlJc w:val="left"/>
    </w:lvl>
    <w:lvl w:ilvl="7" w:tplc="C7E0651C">
      <w:numFmt w:val="decimal"/>
      <w:lvlText w:val=""/>
      <w:lvlJc w:val="left"/>
    </w:lvl>
    <w:lvl w:ilvl="8" w:tplc="3EA22CC2">
      <w:numFmt w:val="decimal"/>
      <w:lvlText w:val=""/>
      <w:lvlJc w:val="left"/>
    </w:lvl>
  </w:abstractNum>
  <w:abstractNum w:abstractNumId="24" w15:restartNumberingAfterBreak="0">
    <w:nsid w:val="5024DE5B"/>
    <w:multiLevelType w:val="hybridMultilevel"/>
    <w:tmpl w:val="5C604B0A"/>
    <w:lvl w:ilvl="0" w:tplc="32762204">
      <w:start w:val="1"/>
      <w:numFmt w:val="bullet"/>
      <w:lvlText w:val="•"/>
      <w:lvlJc w:val="left"/>
    </w:lvl>
    <w:lvl w:ilvl="1" w:tplc="4DA4DB90">
      <w:numFmt w:val="decimal"/>
      <w:lvlText w:val=""/>
      <w:lvlJc w:val="left"/>
    </w:lvl>
    <w:lvl w:ilvl="2" w:tplc="E3EEC6EE">
      <w:numFmt w:val="decimal"/>
      <w:lvlText w:val=""/>
      <w:lvlJc w:val="left"/>
    </w:lvl>
    <w:lvl w:ilvl="3" w:tplc="21D8C576">
      <w:numFmt w:val="decimal"/>
      <w:lvlText w:val=""/>
      <w:lvlJc w:val="left"/>
    </w:lvl>
    <w:lvl w:ilvl="4" w:tplc="B60ECBF2">
      <w:numFmt w:val="decimal"/>
      <w:lvlText w:val=""/>
      <w:lvlJc w:val="left"/>
    </w:lvl>
    <w:lvl w:ilvl="5" w:tplc="A3C43E8C">
      <w:numFmt w:val="decimal"/>
      <w:lvlText w:val=""/>
      <w:lvlJc w:val="left"/>
    </w:lvl>
    <w:lvl w:ilvl="6" w:tplc="06F89E30">
      <w:numFmt w:val="decimal"/>
      <w:lvlText w:val=""/>
      <w:lvlJc w:val="left"/>
    </w:lvl>
    <w:lvl w:ilvl="7" w:tplc="20C6CEF8">
      <w:numFmt w:val="decimal"/>
      <w:lvlText w:val=""/>
      <w:lvlJc w:val="left"/>
    </w:lvl>
    <w:lvl w:ilvl="8" w:tplc="B314A222">
      <w:numFmt w:val="decimal"/>
      <w:lvlText w:val=""/>
      <w:lvlJc w:val="left"/>
    </w:lvl>
  </w:abstractNum>
  <w:abstractNum w:abstractNumId="25" w15:restartNumberingAfterBreak="0">
    <w:nsid w:val="51CB0DA4"/>
    <w:multiLevelType w:val="hybridMultilevel"/>
    <w:tmpl w:val="2D6A7F86"/>
    <w:lvl w:ilvl="0" w:tplc="BD24C6F8">
      <w:start w:val="1"/>
      <w:numFmt w:val="bullet"/>
      <w:lvlText w:val="•"/>
      <w:lvlJc w:val="left"/>
    </w:lvl>
    <w:lvl w:ilvl="1" w:tplc="9BB06052">
      <w:numFmt w:val="decimal"/>
      <w:lvlText w:val=""/>
      <w:lvlJc w:val="left"/>
    </w:lvl>
    <w:lvl w:ilvl="2" w:tplc="81CCF360">
      <w:numFmt w:val="decimal"/>
      <w:lvlText w:val=""/>
      <w:lvlJc w:val="left"/>
    </w:lvl>
    <w:lvl w:ilvl="3" w:tplc="55B8D0C2">
      <w:numFmt w:val="decimal"/>
      <w:lvlText w:val=""/>
      <w:lvlJc w:val="left"/>
    </w:lvl>
    <w:lvl w:ilvl="4" w:tplc="4CC47E5A">
      <w:numFmt w:val="decimal"/>
      <w:lvlText w:val=""/>
      <w:lvlJc w:val="left"/>
    </w:lvl>
    <w:lvl w:ilvl="5" w:tplc="D8DC0102">
      <w:numFmt w:val="decimal"/>
      <w:lvlText w:val=""/>
      <w:lvlJc w:val="left"/>
    </w:lvl>
    <w:lvl w:ilvl="6" w:tplc="213EA028">
      <w:numFmt w:val="decimal"/>
      <w:lvlText w:val=""/>
      <w:lvlJc w:val="left"/>
    </w:lvl>
    <w:lvl w:ilvl="7" w:tplc="9418C8F8">
      <w:numFmt w:val="decimal"/>
      <w:lvlText w:val=""/>
      <w:lvlJc w:val="left"/>
    </w:lvl>
    <w:lvl w:ilvl="8" w:tplc="50E00F6E">
      <w:numFmt w:val="decimal"/>
      <w:lvlText w:val=""/>
      <w:lvlJc w:val="left"/>
    </w:lvl>
  </w:abstractNum>
  <w:abstractNum w:abstractNumId="26" w15:restartNumberingAfterBreak="0">
    <w:nsid w:val="5BFD4210"/>
    <w:multiLevelType w:val="hybridMultilevel"/>
    <w:tmpl w:val="7B42127C"/>
    <w:lvl w:ilvl="0" w:tplc="660C55F0">
      <w:start w:val="1"/>
      <w:numFmt w:val="bullet"/>
      <w:lvlText w:val="•"/>
      <w:lvlJc w:val="left"/>
    </w:lvl>
    <w:lvl w:ilvl="1" w:tplc="58DC4EFC">
      <w:numFmt w:val="decimal"/>
      <w:lvlText w:val=""/>
      <w:lvlJc w:val="left"/>
    </w:lvl>
    <w:lvl w:ilvl="2" w:tplc="A16E7C22">
      <w:numFmt w:val="decimal"/>
      <w:lvlText w:val=""/>
      <w:lvlJc w:val="left"/>
    </w:lvl>
    <w:lvl w:ilvl="3" w:tplc="A044F7D8">
      <w:numFmt w:val="decimal"/>
      <w:lvlText w:val=""/>
      <w:lvlJc w:val="left"/>
    </w:lvl>
    <w:lvl w:ilvl="4" w:tplc="A2181874">
      <w:numFmt w:val="decimal"/>
      <w:lvlText w:val=""/>
      <w:lvlJc w:val="left"/>
    </w:lvl>
    <w:lvl w:ilvl="5" w:tplc="83200996">
      <w:numFmt w:val="decimal"/>
      <w:lvlText w:val=""/>
      <w:lvlJc w:val="left"/>
    </w:lvl>
    <w:lvl w:ilvl="6" w:tplc="F8C65EC0">
      <w:numFmt w:val="decimal"/>
      <w:lvlText w:val=""/>
      <w:lvlJc w:val="left"/>
    </w:lvl>
    <w:lvl w:ilvl="7" w:tplc="6DF48F44">
      <w:numFmt w:val="decimal"/>
      <w:lvlText w:val=""/>
      <w:lvlJc w:val="left"/>
    </w:lvl>
    <w:lvl w:ilvl="8" w:tplc="C3287624">
      <w:numFmt w:val="decimal"/>
      <w:lvlText w:val=""/>
      <w:lvlJc w:val="left"/>
    </w:lvl>
  </w:abstractNum>
  <w:abstractNum w:abstractNumId="27" w15:restartNumberingAfterBreak="0">
    <w:nsid w:val="5FB29816"/>
    <w:multiLevelType w:val="hybridMultilevel"/>
    <w:tmpl w:val="CFEAC26A"/>
    <w:lvl w:ilvl="0" w:tplc="D76AB832">
      <w:start w:val="1"/>
      <w:numFmt w:val="bullet"/>
      <w:lvlText w:val="•"/>
      <w:lvlJc w:val="left"/>
    </w:lvl>
    <w:lvl w:ilvl="1" w:tplc="E5988D38">
      <w:numFmt w:val="decimal"/>
      <w:lvlText w:val=""/>
      <w:lvlJc w:val="left"/>
    </w:lvl>
    <w:lvl w:ilvl="2" w:tplc="427E645C">
      <w:numFmt w:val="decimal"/>
      <w:lvlText w:val=""/>
      <w:lvlJc w:val="left"/>
    </w:lvl>
    <w:lvl w:ilvl="3" w:tplc="9D288C1A">
      <w:numFmt w:val="decimal"/>
      <w:lvlText w:val=""/>
      <w:lvlJc w:val="left"/>
    </w:lvl>
    <w:lvl w:ilvl="4" w:tplc="24F2B9B6">
      <w:numFmt w:val="decimal"/>
      <w:lvlText w:val=""/>
      <w:lvlJc w:val="left"/>
    </w:lvl>
    <w:lvl w:ilvl="5" w:tplc="F40AB914">
      <w:numFmt w:val="decimal"/>
      <w:lvlText w:val=""/>
      <w:lvlJc w:val="left"/>
    </w:lvl>
    <w:lvl w:ilvl="6" w:tplc="A634C958">
      <w:numFmt w:val="decimal"/>
      <w:lvlText w:val=""/>
      <w:lvlJc w:val="left"/>
    </w:lvl>
    <w:lvl w:ilvl="7" w:tplc="B4E425F0">
      <w:numFmt w:val="decimal"/>
      <w:lvlText w:val=""/>
      <w:lvlJc w:val="left"/>
    </w:lvl>
    <w:lvl w:ilvl="8" w:tplc="D7E2A2EA">
      <w:numFmt w:val="decimal"/>
      <w:lvlText w:val=""/>
      <w:lvlJc w:val="left"/>
    </w:lvl>
  </w:abstractNum>
  <w:abstractNum w:abstractNumId="28" w15:restartNumberingAfterBreak="0">
    <w:nsid w:val="62A5D5BD"/>
    <w:multiLevelType w:val="hybridMultilevel"/>
    <w:tmpl w:val="1D06F2D2"/>
    <w:lvl w:ilvl="0" w:tplc="ECB69ED2">
      <w:start w:val="1"/>
      <w:numFmt w:val="bullet"/>
      <w:lvlText w:val="•"/>
      <w:lvlJc w:val="left"/>
    </w:lvl>
    <w:lvl w:ilvl="1" w:tplc="587ADCD4">
      <w:numFmt w:val="decimal"/>
      <w:lvlText w:val=""/>
      <w:lvlJc w:val="left"/>
    </w:lvl>
    <w:lvl w:ilvl="2" w:tplc="5AF4A1D0">
      <w:numFmt w:val="decimal"/>
      <w:lvlText w:val=""/>
      <w:lvlJc w:val="left"/>
    </w:lvl>
    <w:lvl w:ilvl="3" w:tplc="46BC2D8E">
      <w:numFmt w:val="decimal"/>
      <w:lvlText w:val=""/>
      <w:lvlJc w:val="left"/>
    </w:lvl>
    <w:lvl w:ilvl="4" w:tplc="0936DC36">
      <w:numFmt w:val="decimal"/>
      <w:lvlText w:val=""/>
      <w:lvlJc w:val="left"/>
    </w:lvl>
    <w:lvl w:ilvl="5" w:tplc="C58E5DA4">
      <w:numFmt w:val="decimal"/>
      <w:lvlText w:val=""/>
      <w:lvlJc w:val="left"/>
    </w:lvl>
    <w:lvl w:ilvl="6" w:tplc="D5944738">
      <w:numFmt w:val="decimal"/>
      <w:lvlText w:val=""/>
      <w:lvlJc w:val="left"/>
    </w:lvl>
    <w:lvl w:ilvl="7" w:tplc="BA68E1D4">
      <w:numFmt w:val="decimal"/>
      <w:lvlText w:val=""/>
      <w:lvlJc w:val="left"/>
    </w:lvl>
    <w:lvl w:ilvl="8" w:tplc="13D65C14">
      <w:numFmt w:val="decimal"/>
      <w:lvlText w:val=""/>
      <w:lvlJc w:val="left"/>
    </w:lvl>
  </w:abstractNum>
  <w:abstractNum w:abstractNumId="29" w15:restartNumberingAfterBreak="0">
    <w:nsid w:val="65CA235B"/>
    <w:multiLevelType w:val="hybridMultilevel"/>
    <w:tmpl w:val="7BF87766"/>
    <w:lvl w:ilvl="0" w:tplc="135615EA">
      <w:start w:val="1"/>
      <w:numFmt w:val="bullet"/>
      <w:lvlText w:val="•"/>
      <w:lvlJc w:val="left"/>
    </w:lvl>
    <w:lvl w:ilvl="1" w:tplc="0FB2A26C">
      <w:numFmt w:val="decimal"/>
      <w:lvlText w:val=""/>
      <w:lvlJc w:val="left"/>
    </w:lvl>
    <w:lvl w:ilvl="2" w:tplc="70D4D408">
      <w:numFmt w:val="decimal"/>
      <w:lvlText w:val=""/>
      <w:lvlJc w:val="left"/>
    </w:lvl>
    <w:lvl w:ilvl="3" w:tplc="EA984C0E">
      <w:numFmt w:val="decimal"/>
      <w:lvlText w:val=""/>
      <w:lvlJc w:val="left"/>
    </w:lvl>
    <w:lvl w:ilvl="4" w:tplc="08E0C04C">
      <w:numFmt w:val="decimal"/>
      <w:lvlText w:val=""/>
      <w:lvlJc w:val="left"/>
    </w:lvl>
    <w:lvl w:ilvl="5" w:tplc="A2C27156">
      <w:numFmt w:val="decimal"/>
      <w:lvlText w:val=""/>
      <w:lvlJc w:val="left"/>
    </w:lvl>
    <w:lvl w:ilvl="6" w:tplc="75BC2BC0">
      <w:numFmt w:val="decimal"/>
      <w:lvlText w:val=""/>
      <w:lvlJc w:val="left"/>
    </w:lvl>
    <w:lvl w:ilvl="7" w:tplc="BB228F76">
      <w:numFmt w:val="decimal"/>
      <w:lvlText w:val=""/>
      <w:lvlJc w:val="left"/>
    </w:lvl>
    <w:lvl w:ilvl="8" w:tplc="0E1497E8">
      <w:numFmt w:val="decimal"/>
      <w:lvlText w:val=""/>
      <w:lvlJc w:val="left"/>
    </w:lvl>
  </w:abstractNum>
  <w:abstractNum w:abstractNumId="30" w15:restartNumberingAfterBreak="0">
    <w:nsid w:val="6ECE91F0"/>
    <w:multiLevelType w:val="hybridMultilevel"/>
    <w:tmpl w:val="4E906830"/>
    <w:lvl w:ilvl="0" w:tplc="61264D66">
      <w:start w:val="4"/>
      <w:numFmt w:val="decimal"/>
      <w:lvlText w:val="%1."/>
      <w:lvlJc w:val="left"/>
    </w:lvl>
    <w:lvl w:ilvl="1" w:tplc="C560A044">
      <w:numFmt w:val="decimal"/>
      <w:lvlText w:val=""/>
      <w:lvlJc w:val="left"/>
    </w:lvl>
    <w:lvl w:ilvl="2" w:tplc="ED8810EE">
      <w:numFmt w:val="decimal"/>
      <w:lvlText w:val=""/>
      <w:lvlJc w:val="left"/>
    </w:lvl>
    <w:lvl w:ilvl="3" w:tplc="C06440E6">
      <w:numFmt w:val="decimal"/>
      <w:lvlText w:val=""/>
      <w:lvlJc w:val="left"/>
    </w:lvl>
    <w:lvl w:ilvl="4" w:tplc="1290A1F0">
      <w:numFmt w:val="decimal"/>
      <w:lvlText w:val=""/>
      <w:lvlJc w:val="left"/>
    </w:lvl>
    <w:lvl w:ilvl="5" w:tplc="1EAAD4A2">
      <w:numFmt w:val="decimal"/>
      <w:lvlText w:val=""/>
      <w:lvlJc w:val="left"/>
    </w:lvl>
    <w:lvl w:ilvl="6" w:tplc="0914B7FC">
      <w:numFmt w:val="decimal"/>
      <w:lvlText w:val=""/>
      <w:lvlJc w:val="left"/>
    </w:lvl>
    <w:lvl w:ilvl="7" w:tplc="D35607E6">
      <w:numFmt w:val="decimal"/>
      <w:lvlText w:val=""/>
      <w:lvlJc w:val="left"/>
    </w:lvl>
    <w:lvl w:ilvl="8" w:tplc="5A68AAF2">
      <w:numFmt w:val="decimal"/>
      <w:lvlText w:val=""/>
      <w:lvlJc w:val="left"/>
    </w:lvl>
  </w:abstractNum>
  <w:abstractNum w:abstractNumId="31" w15:restartNumberingAfterBreak="0">
    <w:nsid w:val="70EC11B2"/>
    <w:multiLevelType w:val="hybridMultilevel"/>
    <w:tmpl w:val="0C3A9276"/>
    <w:lvl w:ilvl="0" w:tplc="50C28B54">
      <w:start w:val="1"/>
      <w:numFmt w:val="bullet"/>
      <w:lvlText w:val="•"/>
      <w:lvlJc w:val="left"/>
    </w:lvl>
    <w:lvl w:ilvl="1" w:tplc="80608AEE">
      <w:numFmt w:val="decimal"/>
      <w:lvlText w:val=""/>
      <w:lvlJc w:val="left"/>
    </w:lvl>
    <w:lvl w:ilvl="2" w:tplc="34A89354">
      <w:numFmt w:val="decimal"/>
      <w:lvlText w:val=""/>
      <w:lvlJc w:val="left"/>
    </w:lvl>
    <w:lvl w:ilvl="3" w:tplc="72467948">
      <w:numFmt w:val="decimal"/>
      <w:lvlText w:val=""/>
      <w:lvlJc w:val="left"/>
    </w:lvl>
    <w:lvl w:ilvl="4" w:tplc="33E40D82">
      <w:numFmt w:val="decimal"/>
      <w:lvlText w:val=""/>
      <w:lvlJc w:val="left"/>
    </w:lvl>
    <w:lvl w:ilvl="5" w:tplc="B434B4A8">
      <w:numFmt w:val="decimal"/>
      <w:lvlText w:val=""/>
      <w:lvlJc w:val="left"/>
    </w:lvl>
    <w:lvl w:ilvl="6" w:tplc="1860859A">
      <w:numFmt w:val="decimal"/>
      <w:lvlText w:val=""/>
      <w:lvlJc w:val="left"/>
    </w:lvl>
    <w:lvl w:ilvl="7" w:tplc="D8B2D168">
      <w:numFmt w:val="decimal"/>
      <w:lvlText w:val=""/>
      <w:lvlJc w:val="left"/>
    </w:lvl>
    <w:lvl w:ilvl="8" w:tplc="FB3A8B94">
      <w:numFmt w:val="decimal"/>
      <w:lvlText w:val=""/>
      <w:lvlJc w:val="left"/>
    </w:lvl>
  </w:abstractNum>
  <w:abstractNum w:abstractNumId="32" w15:restartNumberingAfterBreak="0">
    <w:nsid w:val="718FABF9"/>
    <w:multiLevelType w:val="hybridMultilevel"/>
    <w:tmpl w:val="E736ADFE"/>
    <w:lvl w:ilvl="0" w:tplc="7B8C495C">
      <w:start w:val="1"/>
      <w:numFmt w:val="bullet"/>
      <w:lvlText w:val="•"/>
      <w:lvlJc w:val="left"/>
    </w:lvl>
    <w:lvl w:ilvl="1" w:tplc="E0825F40">
      <w:numFmt w:val="decimal"/>
      <w:lvlText w:val=""/>
      <w:lvlJc w:val="left"/>
    </w:lvl>
    <w:lvl w:ilvl="2" w:tplc="9C60B448">
      <w:numFmt w:val="decimal"/>
      <w:lvlText w:val=""/>
      <w:lvlJc w:val="left"/>
    </w:lvl>
    <w:lvl w:ilvl="3" w:tplc="AD063628">
      <w:numFmt w:val="decimal"/>
      <w:lvlText w:val=""/>
      <w:lvlJc w:val="left"/>
    </w:lvl>
    <w:lvl w:ilvl="4" w:tplc="F7B09CEA">
      <w:numFmt w:val="decimal"/>
      <w:lvlText w:val=""/>
      <w:lvlJc w:val="left"/>
    </w:lvl>
    <w:lvl w:ilvl="5" w:tplc="66F65C36">
      <w:numFmt w:val="decimal"/>
      <w:lvlText w:val=""/>
      <w:lvlJc w:val="left"/>
    </w:lvl>
    <w:lvl w:ilvl="6" w:tplc="06F653FE">
      <w:numFmt w:val="decimal"/>
      <w:lvlText w:val=""/>
      <w:lvlJc w:val="left"/>
    </w:lvl>
    <w:lvl w:ilvl="7" w:tplc="961078DC">
      <w:numFmt w:val="decimal"/>
      <w:lvlText w:val=""/>
      <w:lvlJc w:val="left"/>
    </w:lvl>
    <w:lvl w:ilvl="8" w:tplc="EBDE4280">
      <w:numFmt w:val="decimal"/>
      <w:lvlText w:val=""/>
      <w:lvlJc w:val="left"/>
    </w:lvl>
  </w:abstractNum>
  <w:abstractNum w:abstractNumId="33" w15:restartNumberingAfterBreak="0">
    <w:nsid w:val="73209072"/>
    <w:multiLevelType w:val="hybridMultilevel"/>
    <w:tmpl w:val="EFA64048"/>
    <w:lvl w:ilvl="0" w:tplc="94E81F86">
      <w:start w:val="1"/>
      <w:numFmt w:val="bullet"/>
      <w:lvlText w:val="•"/>
      <w:lvlJc w:val="left"/>
    </w:lvl>
    <w:lvl w:ilvl="1" w:tplc="C8B8DB48">
      <w:numFmt w:val="decimal"/>
      <w:lvlText w:val=""/>
      <w:lvlJc w:val="left"/>
    </w:lvl>
    <w:lvl w:ilvl="2" w:tplc="07186E84">
      <w:numFmt w:val="decimal"/>
      <w:lvlText w:val=""/>
      <w:lvlJc w:val="left"/>
    </w:lvl>
    <w:lvl w:ilvl="3" w:tplc="48DA595C">
      <w:numFmt w:val="decimal"/>
      <w:lvlText w:val=""/>
      <w:lvlJc w:val="left"/>
    </w:lvl>
    <w:lvl w:ilvl="4" w:tplc="9FFAC954">
      <w:numFmt w:val="decimal"/>
      <w:lvlText w:val=""/>
      <w:lvlJc w:val="left"/>
    </w:lvl>
    <w:lvl w:ilvl="5" w:tplc="100C18E4">
      <w:numFmt w:val="decimal"/>
      <w:lvlText w:val=""/>
      <w:lvlJc w:val="left"/>
    </w:lvl>
    <w:lvl w:ilvl="6" w:tplc="2A2EB344">
      <w:numFmt w:val="decimal"/>
      <w:lvlText w:val=""/>
      <w:lvlJc w:val="left"/>
    </w:lvl>
    <w:lvl w:ilvl="7" w:tplc="BDFE5E36">
      <w:numFmt w:val="decimal"/>
      <w:lvlText w:val=""/>
      <w:lvlJc w:val="left"/>
    </w:lvl>
    <w:lvl w:ilvl="8" w:tplc="A3F0B756">
      <w:numFmt w:val="decimal"/>
      <w:lvlText w:val=""/>
      <w:lvlJc w:val="left"/>
    </w:lvl>
  </w:abstractNum>
  <w:abstractNum w:abstractNumId="34" w15:restartNumberingAfterBreak="0">
    <w:nsid w:val="763B8C4E"/>
    <w:multiLevelType w:val="hybridMultilevel"/>
    <w:tmpl w:val="DA14C1F6"/>
    <w:lvl w:ilvl="0" w:tplc="9C42F99E">
      <w:start w:val="1"/>
      <w:numFmt w:val="bullet"/>
      <w:lvlText w:val="•"/>
      <w:lvlJc w:val="left"/>
    </w:lvl>
    <w:lvl w:ilvl="1" w:tplc="E9F297D4">
      <w:numFmt w:val="decimal"/>
      <w:lvlText w:val=""/>
      <w:lvlJc w:val="left"/>
    </w:lvl>
    <w:lvl w:ilvl="2" w:tplc="12C4558E">
      <w:numFmt w:val="decimal"/>
      <w:lvlText w:val=""/>
      <w:lvlJc w:val="left"/>
    </w:lvl>
    <w:lvl w:ilvl="3" w:tplc="BDDE9986">
      <w:numFmt w:val="decimal"/>
      <w:lvlText w:val=""/>
      <w:lvlJc w:val="left"/>
    </w:lvl>
    <w:lvl w:ilvl="4" w:tplc="129C3144">
      <w:numFmt w:val="decimal"/>
      <w:lvlText w:val=""/>
      <w:lvlJc w:val="left"/>
    </w:lvl>
    <w:lvl w:ilvl="5" w:tplc="8D463180">
      <w:numFmt w:val="decimal"/>
      <w:lvlText w:val=""/>
      <w:lvlJc w:val="left"/>
    </w:lvl>
    <w:lvl w:ilvl="6" w:tplc="7B7A52F6">
      <w:numFmt w:val="decimal"/>
      <w:lvlText w:val=""/>
      <w:lvlJc w:val="left"/>
    </w:lvl>
    <w:lvl w:ilvl="7" w:tplc="0456C380">
      <w:numFmt w:val="decimal"/>
      <w:lvlText w:val=""/>
      <w:lvlJc w:val="left"/>
    </w:lvl>
    <w:lvl w:ilvl="8" w:tplc="8D849A72">
      <w:numFmt w:val="decimal"/>
      <w:lvlText w:val=""/>
      <w:lvlJc w:val="left"/>
    </w:lvl>
  </w:abstractNum>
  <w:abstractNum w:abstractNumId="35" w15:restartNumberingAfterBreak="0">
    <w:nsid w:val="76574F8B"/>
    <w:multiLevelType w:val="hybridMultilevel"/>
    <w:tmpl w:val="AC94334A"/>
    <w:lvl w:ilvl="0" w:tplc="06DA1C00">
      <w:start w:val="1"/>
      <w:numFmt w:val="bullet"/>
      <w:lvlText w:val="•"/>
      <w:lvlJc w:val="left"/>
    </w:lvl>
    <w:lvl w:ilvl="1" w:tplc="7E9A669A">
      <w:numFmt w:val="decimal"/>
      <w:lvlText w:val=""/>
      <w:lvlJc w:val="left"/>
    </w:lvl>
    <w:lvl w:ilvl="2" w:tplc="A3987FFA">
      <w:numFmt w:val="decimal"/>
      <w:lvlText w:val=""/>
      <w:lvlJc w:val="left"/>
    </w:lvl>
    <w:lvl w:ilvl="3" w:tplc="1F6A7B22">
      <w:numFmt w:val="decimal"/>
      <w:lvlText w:val=""/>
      <w:lvlJc w:val="left"/>
    </w:lvl>
    <w:lvl w:ilvl="4" w:tplc="55C6182E">
      <w:numFmt w:val="decimal"/>
      <w:lvlText w:val=""/>
      <w:lvlJc w:val="left"/>
    </w:lvl>
    <w:lvl w:ilvl="5" w:tplc="EB62962E">
      <w:numFmt w:val="decimal"/>
      <w:lvlText w:val=""/>
      <w:lvlJc w:val="left"/>
    </w:lvl>
    <w:lvl w:ilvl="6" w:tplc="FA98396A">
      <w:numFmt w:val="decimal"/>
      <w:lvlText w:val=""/>
      <w:lvlJc w:val="left"/>
    </w:lvl>
    <w:lvl w:ilvl="7" w:tplc="2746149E">
      <w:numFmt w:val="decimal"/>
      <w:lvlText w:val=""/>
      <w:lvlJc w:val="left"/>
    </w:lvl>
    <w:lvl w:ilvl="8" w:tplc="32D804EC">
      <w:numFmt w:val="decimal"/>
      <w:lvlText w:val=""/>
      <w:lvlJc w:val="left"/>
    </w:lvl>
  </w:abstractNum>
  <w:abstractNum w:abstractNumId="36" w15:restartNumberingAfterBreak="0">
    <w:nsid w:val="7775797C"/>
    <w:multiLevelType w:val="hybridMultilevel"/>
    <w:tmpl w:val="7478BD4E"/>
    <w:lvl w:ilvl="0" w:tplc="137A94CE">
      <w:start w:val="1"/>
      <w:numFmt w:val="bullet"/>
      <w:lvlText w:val="•"/>
      <w:lvlJc w:val="left"/>
    </w:lvl>
    <w:lvl w:ilvl="1" w:tplc="127A5794">
      <w:numFmt w:val="decimal"/>
      <w:lvlText w:val=""/>
      <w:lvlJc w:val="left"/>
    </w:lvl>
    <w:lvl w:ilvl="2" w:tplc="421EF724">
      <w:numFmt w:val="decimal"/>
      <w:lvlText w:val=""/>
      <w:lvlJc w:val="left"/>
    </w:lvl>
    <w:lvl w:ilvl="3" w:tplc="BF7436FE">
      <w:numFmt w:val="decimal"/>
      <w:lvlText w:val=""/>
      <w:lvlJc w:val="left"/>
    </w:lvl>
    <w:lvl w:ilvl="4" w:tplc="2FB802BE">
      <w:numFmt w:val="decimal"/>
      <w:lvlText w:val=""/>
      <w:lvlJc w:val="left"/>
    </w:lvl>
    <w:lvl w:ilvl="5" w:tplc="AB92AEFC">
      <w:numFmt w:val="decimal"/>
      <w:lvlText w:val=""/>
      <w:lvlJc w:val="left"/>
    </w:lvl>
    <w:lvl w:ilvl="6" w:tplc="B0764CFA">
      <w:numFmt w:val="decimal"/>
      <w:lvlText w:val=""/>
      <w:lvlJc w:val="left"/>
    </w:lvl>
    <w:lvl w:ilvl="7" w:tplc="7ECE288C">
      <w:numFmt w:val="decimal"/>
      <w:lvlText w:val=""/>
      <w:lvlJc w:val="left"/>
    </w:lvl>
    <w:lvl w:ilvl="8" w:tplc="D9BC9474">
      <w:numFmt w:val="decimal"/>
      <w:lvlText w:val=""/>
      <w:lvlJc w:val="left"/>
    </w:lvl>
  </w:abstractNum>
  <w:abstractNum w:abstractNumId="37" w15:restartNumberingAfterBreak="0">
    <w:nsid w:val="792B8401"/>
    <w:multiLevelType w:val="hybridMultilevel"/>
    <w:tmpl w:val="11F083F2"/>
    <w:lvl w:ilvl="0" w:tplc="830A7638">
      <w:start w:val="1"/>
      <w:numFmt w:val="bullet"/>
      <w:lvlText w:val="•"/>
      <w:lvlJc w:val="left"/>
    </w:lvl>
    <w:lvl w:ilvl="1" w:tplc="BDB6869C">
      <w:numFmt w:val="decimal"/>
      <w:lvlText w:val=""/>
      <w:lvlJc w:val="left"/>
    </w:lvl>
    <w:lvl w:ilvl="2" w:tplc="7486D10C">
      <w:numFmt w:val="decimal"/>
      <w:lvlText w:val=""/>
      <w:lvlJc w:val="left"/>
    </w:lvl>
    <w:lvl w:ilvl="3" w:tplc="753E3DCA">
      <w:numFmt w:val="decimal"/>
      <w:lvlText w:val=""/>
      <w:lvlJc w:val="left"/>
    </w:lvl>
    <w:lvl w:ilvl="4" w:tplc="D9760912">
      <w:numFmt w:val="decimal"/>
      <w:lvlText w:val=""/>
      <w:lvlJc w:val="left"/>
    </w:lvl>
    <w:lvl w:ilvl="5" w:tplc="7922B3A0">
      <w:numFmt w:val="decimal"/>
      <w:lvlText w:val=""/>
      <w:lvlJc w:val="left"/>
    </w:lvl>
    <w:lvl w:ilvl="6" w:tplc="ADE011DC">
      <w:numFmt w:val="decimal"/>
      <w:lvlText w:val=""/>
      <w:lvlJc w:val="left"/>
    </w:lvl>
    <w:lvl w:ilvl="7" w:tplc="9DDEC608">
      <w:numFmt w:val="decimal"/>
      <w:lvlText w:val=""/>
      <w:lvlJc w:val="left"/>
    </w:lvl>
    <w:lvl w:ilvl="8" w:tplc="DDB4CDEA">
      <w:numFmt w:val="decimal"/>
      <w:lvlText w:val=""/>
      <w:lvlJc w:val="left"/>
    </w:lvl>
  </w:abstractNum>
  <w:abstractNum w:abstractNumId="38" w15:restartNumberingAfterBreak="0">
    <w:nsid w:val="7934D3D4"/>
    <w:multiLevelType w:val="hybridMultilevel"/>
    <w:tmpl w:val="177A1F3A"/>
    <w:lvl w:ilvl="0" w:tplc="451A81FE">
      <w:start w:val="1"/>
      <w:numFmt w:val="bullet"/>
      <w:lvlText w:val="•"/>
      <w:lvlJc w:val="left"/>
    </w:lvl>
    <w:lvl w:ilvl="1" w:tplc="7E44782A">
      <w:numFmt w:val="decimal"/>
      <w:lvlText w:val=""/>
      <w:lvlJc w:val="left"/>
    </w:lvl>
    <w:lvl w:ilvl="2" w:tplc="87AE7EE8">
      <w:numFmt w:val="decimal"/>
      <w:lvlText w:val=""/>
      <w:lvlJc w:val="left"/>
    </w:lvl>
    <w:lvl w:ilvl="3" w:tplc="29DAD89C">
      <w:numFmt w:val="decimal"/>
      <w:lvlText w:val=""/>
      <w:lvlJc w:val="left"/>
    </w:lvl>
    <w:lvl w:ilvl="4" w:tplc="82EC2572">
      <w:numFmt w:val="decimal"/>
      <w:lvlText w:val=""/>
      <w:lvlJc w:val="left"/>
    </w:lvl>
    <w:lvl w:ilvl="5" w:tplc="D138EDE6">
      <w:numFmt w:val="decimal"/>
      <w:lvlText w:val=""/>
      <w:lvlJc w:val="left"/>
    </w:lvl>
    <w:lvl w:ilvl="6" w:tplc="3D38E946">
      <w:numFmt w:val="decimal"/>
      <w:lvlText w:val=""/>
      <w:lvlJc w:val="left"/>
    </w:lvl>
    <w:lvl w:ilvl="7" w:tplc="A00674AE">
      <w:numFmt w:val="decimal"/>
      <w:lvlText w:val=""/>
      <w:lvlJc w:val="left"/>
    </w:lvl>
    <w:lvl w:ilvl="8" w:tplc="D7AC9E9A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16"/>
  </w:num>
  <w:num w:numId="5">
    <w:abstractNumId w:val="0"/>
  </w:num>
  <w:num w:numId="6">
    <w:abstractNumId w:val="34"/>
  </w:num>
  <w:num w:numId="7">
    <w:abstractNumId w:val="22"/>
  </w:num>
  <w:num w:numId="8">
    <w:abstractNumId w:val="28"/>
  </w:num>
  <w:num w:numId="9">
    <w:abstractNumId w:val="32"/>
  </w:num>
  <w:num w:numId="10">
    <w:abstractNumId w:val="36"/>
  </w:num>
  <w:num w:numId="11">
    <w:abstractNumId w:val="7"/>
  </w:num>
  <w:num w:numId="12">
    <w:abstractNumId w:val="18"/>
  </w:num>
  <w:num w:numId="13">
    <w:abstractNumId w:val="20"/>
  </w:num>
  <w:num w:numId="14">
    <w:abstractNumId w:val="29"/>
  </w:num>
  <w:num w:numId="15">
    <w:abstractNumId w:val="25"/>
  </w:num>
  <w:num w:numId="16">
    <w:abstractNumId w:val="5"/>
  </w:num>
  <w:num w:numId="17">
    <w:abstractNumId w:val="15"/>
  </w:num>
  <w:num w:numId="18">
    <w:abstractNumId w:val="31"/>
  </w:num>
  <w:num w:numId="19">
    <w:abstractNumId w:val="17"/>
  </w:num>
  <w:num w:numId="20">
    <w:abstractNumId w:val="33"/>
  </w:num>
  <w:num w:numId="21">
    <w:abstractNumId w:val="27"/>
  </w:num>
  <w:num w:numId="22">
    <w:abstractNumId w:val="19"/>
  </w:num>
  <w:num w:numId="23">
    <w:abstractNumId w:val="13"/>
  </w:num>
  <w:num w:numId="24">
    <w:abstractNumId w:val="37"/>
  </w:num>
  <w:num w:numId="25">
    <w:abstractNumId w:val="3"/>
  </w:num>
  <w:num w:numId="26">
    <w:abstractNumId w:val="30"/>
  </w:num>
  <w:num w:numId="27">
    <w:abstractNumId w:val="23"/>
  </w:num>
  <w:num w:numId="28">
    <w:abstractNumId w:val="26"/>
  </w:num>
  <w:num w:numId="29">
    <w:abstractNumId w:val="35"/>
  </w:num>
  <w:num w:numId="30">
    <w:abstractNumId w:val="9"/>
  </w:num>
  <w:num w:numId="31">
    <w:abstractNumId w:val="14"/>
  </w:num>
  <w:num w:numId="32">
    <w:abstractNumId w:val="6"/>
  </w:num>
  <w:num w:numId="33">
    <w:abstractNumId w:val="10"/>
  </w:num>
  <w:num w:numId="34">
    <w:abstractNumId w:val="24"/>
  </w:num>
  <w:num w:numId="35">
    <w:abstractNumId w:val="8"/>
  </w:num>
  <w:num w:numId="36">
    <w:abstractNumId w:val="4"/>
  </w:num>
  <w:num w:numId="37">
    <w:abstractNumId w:val="11"/>
  </w:num>
  <w:num w:numId="38">
    <w:abstractNumId w:val="3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EC"/>
    <w:rsid w:val="00653CEC"/>
    <w:rsid w:val="009209BC"/>
    <w:rsid w:val="00F8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4AA7"/>
  <w15:chartTrackingRefBased/>
  <w15:docId w15:val="{A9037524-F34E-4B64-A12D-80170D14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F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.europa.eu/" TargetMode="External"/><Relationship Id="rId5" Type="http://schemas.openxmlformats.org/officeDocument/2006/relationships/hyperlink" Target="https://www.ema.europa.eu/documents/template-form/appendix-v-adverse-drug-reaction-reporting-details_e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2946</Words>
  <Characters>16796</Characters>
  <Application>Microsoft Office Word</Application>
  <DocSecurity>0</DocSecurity>
  <Lines>139</Lines>
  <Paragraphs>39</Paragraphs>
  <ScaleCrop>false</ScaleCrop>
  <Company/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3</cp:revision>
  <dcterms:created xsi:type="dcterms:W3CDTF">2021-05-11T11:46:00Z</dcterms:created>
  <dcterms:modified xsi:type="dcterms:W3CDTF">2021-05-11T11:48:00Z</dcterms:modified>
</cp:coreProperties>
</file>