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A7D" w:rsidRPr="0060190E" w:rsidRDefault="00533A7D" w:rsidP="00533A7D">
      <w:pPr>
        <w:tabs>
          <w:tab w:val="left" w:pos="567"/>
        </w:tabs>
        <w:spacing w:after="0" w:line="240" w:lineRule="auto"/>
        <w:ind w:left="567" w:hanging="567"/>
        <w:jc w:val="center"/>
        <w:rPr>
          <w:rFonts w:ascii="Times New Roman" w:eastAsia="Times New Roman" w:hAnsi="Times New Roman" w:cs="Times New Roman"/>
          <w:b/>
          <w:noProof/>
        </w:rPr>
      </w:pPr>
      <w:r w:rsidRPr="0060190E">
        <w:rPr>
          <w:rFonts w:ascii="Times New Roman" w:eastAsia="Times New Roman" w:hAnsi="Times New Roman" w:cs="Times New Roman"/>
          <w:b/>
          <w:noProof/>
        </w:rPr>
        <w:t>Pakuotės lapelis: informacija vartotojui</w:t>
      </w:r>
    </w:p>
    <w:p w:rsidR="00533A7D" w:rsidRPr="0060190E" w:rsidRDefault="00533A7D" w:rsidP="00533A7D">
      <w:pPr>
        <w:tabs>
          <w:tab w:val="left" w:pos="567"/>
        </w:tabs>
        <w:spacing w:after="0" w:line="240" w:lineRule="auto"/>
        <w:ind w:left="567" w:hanging="567"/>
        <w:jc w:val="center"/>
        <w:rPr>
          <w:rFonts w:ascii="Times New Roman" w:eastAsia="Times New Roman" w:hAnsi="Times New Roman" w:cs="Times New Roman"/>
          <w:b/>
          <w:caps/>
          <w:noProof/>
        </w:rPr>
      </w:pPr>
    </w:p>
    <w:p w:rsidR="00533A7D" w:rsidRDefault="00533A7D" w:rsidP="00533A7D">
      <w:pPr>
        <w:tabs>
          <w:tab w:val="left" w:pos="567"/>
        </w:tabs>
        <w:spacing w:after="0" w:line="240" w:lineRule="auto"/>
        <w:ind w:left="567" w:hanging="567"/>
        <w:jc w:val="center"/>
        <w:rPr>
          <w:rFonts w:ascii="Times New Roman" w:eastAsia="Times New Roman" w:hAnsi="Times New Roman" w:cs="Times New Roman"/>
          <w:b/>
          <w:caps/>
          <w:noProof/>
        </w:rPr>
      </w:pPr>
      <w:r w:rsidRPr="0060190E">
        <w:rPr>
          <w:rFonts w:ascii="Times New Roman" w:eastAsia="Times New Roman" w:hAnsi="Times New Roman" w:cs="Times New Roman"/>
          <w:b/>
          <w:noProof/>
        </w:rPr>
        <w:t>Guttalax</w:t>
      </w:r>
      <w:r w:rsidRPr="0060190E">
        <w:rPr>
          <w:rFonts w:ascii="Times New Roman" w:eastAsia="Times New Roman" w:hAnsi="Times New Roman" w:cs="Times New Roman"/>
          <w:b/>
          <w:caps/>
          <w:noProof/>
        </w:rPr>
        <w:t xml:space="preserve"> 7,5 </w:t>
      </w:r>
      <w:r w:rsidRPr="0060190E">
        <w:rPr>
          <w:rFonts w:ascii="Times New Roman" w:eastAsia="Times New Roman" w:hAnsi="Times New Roman" w:cs="Times New Roman"/>
          <w:b/>
          <w:noProof/>
        </w:rPr>
        <w:t>mg/ml geriamieji lašai (tirpalas)</w:t>
      </w:r>
    </w:p>
    <w:p w:rsidR="00533A7D" w:rsidRPr="0060190E" w:rsidRDefault="00533A7D" w:rsidP="00533A7D">
      <w:pPr>
        <w:tabs>
          <w:tab w:val="left" w:pos="567"/>
        </w:tabs>
        <w:spacing w:after="0" w:line="240" w:lineRule="auto"/>
        <w:ind w:left="567" w:hanging="567"/>
        <w:jc w:val="center"/>
        <w:rPr>
          <w:rFonts w:ascii="Times New Roman" w:eastAsia="Times New Roman" w:hAnsi="Times New Roman" w:cs="Times New Roman"/>
          <w:noProof/>
        </w:rPr>
      </w:pPr>
      <w:r w:rsidRPr="0060190E">
        <w:rPr>
          <w:rFonts w:ascii="Times New Roman" w:eastAsia="Times New Roman" w:hAnsi="Times New Roman" w:cs="Times New Roman"/>
          <w:noProof/>
        </w:rPr>
        <w:t>Natrio pikosulfatas</w:t>
      </w:r>
    </w:p>
    <w:p w:rsidR="00533A7D" w:rsidRPr="0060190E" w:rsidRDefault="00533A7D" w:rsidP="00533A7D">
      <w:pPr>
        <w:tabs>
          <w:tab w:val="left" w:pos="567"/>
        </w:tabs>
        <w:spacing w:after="0" w:line="240" w:lineRule="auto"/>
        <w:ind w:left="567" w:hanging="567"/>
        <w:jc w:val="center"/>
        <w:rPr>
          <w:rFonts w:ascii="Times New Roman" w:eastAsia="Times New Roman" w:hAnsi="Times New Roman" w:cs="Times New Roman"/>
          <w:noProof/>
        </w:rPr>
      </w:pPr>
    </w:p>
    <w:p w:rsidR="00533A7D" w:rsidRPr="0060190E" w:rsidRDefault="00533A7D" w:rsidP="00533A7D">
      <w:pPr>
        <w:tabs>
          <w:tab w:val="left" w:pos="567"/>
        </w:tabs>
        <w:spacing w:after="0" w:line="240" w:lineRule="auto"/>
        <w:rPr>
          <w:rFonts w:ascii="Times New Roman" w:eastAsia="Times New Roman" w:hAnsi="Times New Roman" w:cs="Times New Roman"/>
          <w:b/>
          <w:noProof/>
        </w:rPr>
      </w:pPr>
      <w:r w:rsidRPr="0060190E">
        <w:rPr>
          <w:rFonts w:ascii="Times New Roman" w:eastAsia="Times New Roman" w:hAnsi="Times New Roman" w:cs="Times New Roman"/>
          <w:b/>
          <w:noProof/>
        </w:rPr>
        <w:t>Atidžiai perskaitykite visą šį lapelį, prieš pradėdami vartoti šį vaistą, nes jame pateikiama Jums svarbi informacija.</w:t>
      </w:r>
    </w:p>
    <w:p w:rsidR="00533A7D" w:rsidRPr="0060190E" w:rsidRDefault="00533A7D" w:rsidP="00533A7D">
      <w:pPr>
        <w:tabs>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Visada vartokite šį vaistą tiksliai kaip aprašyta šiame lapelyje arba kaip nurodė gydytojas, vaistininkas arba slaugytojas.</w:t>
      </w:r>
    </w:p>
    <w:p w:rsidR="00533A7D" w:rsidRPr="0060190E" w:rsidRDefault="00533A7D" w:rsidP="00533A7D">
      <w:pPr>
        <w:tabs>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w:t>
      </w:r>
      <w:r w:rsidRPr="0060190E">
        <w:rPr>
          <w:rFonts w:ascii="Times New Roman" w:eastAsia="Times New Roman" w:hAnsi="Times New Roman" w:cs="Times New Roman"/>
          <w:noProof/>
        </w:rPr>
        <w:tab/>
        <w:t xml:space="preserve">Neišmeskite šio </w:t>
      </w:r>
      <w:smartTag w:uri="schemas-tilde-lt/tildestengine" w:element="templates">
        <w:smartTagPr>
          <w:attr w:name="text" w:val="lapelio"/>
          <w:attr w:name="id" w:val="-1"/>
          <w:attr w:name="baseform" w:val="lapel|is"/>
        </w:smartTagPr>
        <w:r w:rsidRPr="0060190E">
          <w:rPr>
            <w:rFonts w:ascii="Times New Roman" w:eastAsia="Times New Roman" w:hAnsi="Times New Roman" w:cs="Times New Roman"/>
            <w:noProof/>
          </w:rPr>
          <w:t>lapelio</w:t>
        </w:r>
      </w:smartTag>
      <w:r w:rsidRPr="0060190E">
        <w:rPr>
          <w:rFonts w:ascii="Times New Roman" w:eastAsia="Times New Roman" w:hAnsi="Times New Roman" w:cs="Times New Roman"/>
          <w:noProof/>
        </w:rPr>
        <w:t>, nes vėl gali prireikti jį perskaityti.</w:t>
      </w:r>
    </w:p>
    <w:p w:rsidR="00533A7D" w:rsidRPr="0060190E" w:rsidRDefault="00533A7D" w:rsidP="00533A7D">
      <w:pPr>
        <w:tabs>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w:t>
      </w:r>
      <w:r w:rsidRPr="0060190E">
        <w:rPr>
          <w:rFonts w:ascii="Times New Roman" w:eastAsia="Times New Roman" w:hAnsi="Times New Roman" w:cs="Times New Roman"/>
          <w:noProof/>
        </w:rPr>
        <w:tab/>
        <w:t>Jeigu norite sužinoti daugiau arba pasitarti, kreipkitės į vaistininką.</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w:t>
      </w:r>
      <w:r w:rsidRPr="0060190E">
        <w:rPr>
          <w:rFonts w:ascii="Times New Roman" w:eastAsia="Times New Roman" w:hAnsi="Times New Roman" w:cs="Times New Roman"/>
          <w:noProof/>
        </w:rPr>
        <w:tab/>
        <w:t>Jeigu pasireiškė šalutinis poveikis (net jeigu jis šiame lapelyje nenurodytas), kreipkitės į gydytoją, vaistininką, arba slaugytoją. Žr. 4 skyrių.</w:t>
      </w:r>
    </w:p>
    <w:p w:rsidR="00533A7D" w:rsidRPr="0060190E" w:rsidRDefault="00533A7D" w:rsidP="00533A7D">
      <w:pPr>
        <w:tabs>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w:t>
      </w:r>
      <w:r w:rsidRPr="0060190E">
        <w:rPr>
          <w:rFonts w:ascii="Times New Roman" w:eastAsia="Times New Roman" w:hAnsi="Times New Roman" w:cs="Times New Roman"/>
          <w:noProof/>
        </w:rPr>
        <w:tab/>
        <w:t>Jeigu per kelias dienas Jūsų savijauta nepagerėjo arba net pablogėjo, kreipkitės į gydytoją.</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b/>
        </w:rPr>
      </w:pPr>
      <w:r w:rsidRPr="0060190E">
        <w:rPr>
          <w:rFonts w:ascii="Times New Roman" w:eastAsia="Times New Roman" w:hAnsi="Times New Roman" w:cs="Times New Roman"/>
          <w:b/>
        </w:rPr>
        <w:t>Apie ką rašoma šiame lapelyje?</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b/>
        </w:rPr>
      </w:pPr>
    </w:p>
    <w:p w:rsidR="00533A7D" w:rsidRPr="0060190E" w:rsidRDefault="00533A7D" w:rsidP="00533A7D">
      <w:pPr>
        <w:numPr>
          <w:ilvl w:val="12"/>
          <w:numId w:val="0"/>
        </w:numPr>
        <w:tabs>
          <w:tab w:val="left" w:pos="567"/>
        </w:tabs>
        <w:spacing w:after="0" w:line="240" w:lineRule="auto"/>
        <w:jc w:val="both"/>
        <w:rPr>
          <w:rFonts w:ascii="Times New Roman" w:eastAsia="Times New Roman" w:hAnsi="Times New Roman" w:cs="Times New Roman"/>
          <w:noProof/>
        </w:rPr>
      </w:pPr>
      <w:r w:rsidRPr="0060190E">
        <w:rPr>
          <w:rFonts w:ascii="Times New Roman" w:eastAsia="Times New Roman" w:hAnsi="Times New Roman" w:cs="Times New Roman"/>
          <w:noProof/>
        </w:rPr>
        <w:t>1.</w:t>
      </w:r>
      <w:r w:rsidRPr="0060190E">
        <w:rPr>
          <w:rFonts w:ascii="Times New Roman" w:eastAsia="Times New Roman" w:hAnsi="Times New Roman" w:cs="Times New Roman"/>
          <w:noProof/>
        </w:rPr>
        <w:tab/>
        <w:t>Kas yra Guttalax</w:t>
      </w:r>
      <w:r w:rsidRPr="0060190E">
        <w:rPr>
          <w:rFonts w:ascii="Times New Roman" w:eastAsia="Times New Roman" w:hAnsi="Times New Roman" w:cs="Times New Roman"/>
          <w:bCs/>
          <w:noProof/>
        </w:rPr>
        <w:t xml:space="preserve"> </w:t>
      </w:r>
      <w:r w:rsidRPr="0060190E">
        <w:rPr>
          <w:rFonts w:ascii="Times New Roman" w:eastAsia="Times New Roman" w:hAnsi="Times New Roman" w:cs="Times New Roman"/>
          <w:noProof/>
        </w:rPr>
        <w:t>ir kam jis vartojamas</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2.</w:t>
      </w:r>
      <w:r w:rsidRPr="0060190E">
        <w:rPr>
          <w:rFonts w:ascii="Times New Roman" w:eastAsia="Times New Roman" w:hAnsi="Times New Roman" w:cs="Times New Roman"/>
          <w:noProof/>
        </w:rPr>
        <w:tab/>
        <w:t>Kas žinotina prieš vartojant Guttalax</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3.</w:t>
      </w:r>
      <w:r w:rsidRPr="0060190E">
        <w:rPr>
          <w:rFonts w:ascii="Times New Roman" w:eastAsia="Times New Roman" w:hAnsi="Times New Roman" w:cs="Times New Roman"/>
          <w:noProof/>
        </w:rPr>
        <w:tab/>
        <w:t>Kaip vartoti Guttalax</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4.</w:t>
      </w:r>
      <w:r w:rsidRPr="0060190E">
        <w:rPr>
          <w:rFonts w:ascii="Times New Roman" w:eastAsia="Times New Roman" w:hAnsi="Times New Roman" w:cs="Times New Roman"/>
          <w:noProof/>
        </w:rPr>
        <w:tab/>
        <w:t>Galimas šalutinis poveikis</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5.</w:t>
      </w:r>
      <w:r w:rsidRPr="0060190E">
        <w:rPr>
          <w:rFonts w:ascii="Times New Roman" w:eastAsia="Times New Roman" w:hAnsi="Times New Roman" w:cs="Times New Roman"/>
          <w:noProof/>
        </w:rPr>
        <w:tab/>
        <w:t>Kaip laikyti Guttalax</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6.</w:t>
      </w:r>
      <w:r w:rsidRPr="0060190E">
        <w:rPr>
          <w:rFonts w:ascii="Times New Roman" w:eastAsia="Times New Roman" w:hAnsi="Times New Roman" w:cs="Times New Roman"/>
          <w:noProof/>
        </w:rPr>
        <w:tab/>
        <w:t>Pakuotės turinys ir kita informacija</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numPr>
          <w:ilvl w:val="12"/>
          <w:numId w:val="0"/>
        </w:numPr>
        <w:tabs>
          <w:tab w:val="left" w:pos="567"/>
        </w:tabs>
        <w:spacing w:after="0" w:line="240" w:lineRule="auto"/>
        <w:ind w:left="567" w:hanging="567"/>
        <w:rPr>
          <w:rFonts w:ascii="Times New Roman" w:eastAsia="Times New Roman" w:hAnsi="Times New Roman" w:cs="Times New Roman"/>
          <w:b/>
          <w:caps/>
          <w:noProof/>
        </w:rPr>
      </w:pPr>
      <w:r w:rsidRPr="0060190E">
        <w:rPr>
          <w:rFonts w:ascii="Times New Roman" w:eastAsia="Times New Roman" w:hAnsi="Times New Roman" w:cs="Times New Roman"/>
          <w:b/>
          <w:noProof/>
        </w:rPr>
        <w:t>1.</w:t>
      </w:r>
      <w:r w:rsidRPr="0060190E">
        <w:rPr>
          <w:rFonts w:ascii="Times New Roman" w:eastAsia="Times New Roman" w:hAnsi="Times New Roman" w:cs="Times New Roman"/>
          <w:b/>
          <w:noProof/>
        </w:rPr>
        <w:tab/>
        <w:t>Kas yra Guttalax ir kam jis vartojamas</w:t>
      </w:r>
    </w:p>
    <w:p w:rsidR="00533A7D" w:rsidRPr="0060190E" w:rsidRDefault="00533A7D" w:rsidP="00533A7D">
      <w:pPr>
        <w:tabs>
          <w:tab w:val="left" w:pos="567"/>
        </w:tabs>
        <w:spacing w:after="0" w:line="240" w:lineRule="auto"/>
        <w:ind w:left="567" w:hanging="567"/>
        <w:jc w:val="both"/>
        <w:rPr>
          <w:rFonts w:ascii="Times New Roman" w:eastAsia="Times New Roman" w:hAnsi="Times New Roman" w:cs="Times New Roman"/>
          <w:noProof/>
          <w:lang w:eastAsia="lt-LT"/>
        </w:rPr>
      </w:pPr>
    </w:p>
    <w:p w:rsidR="00533A7D" w:rsidRPr="0060190E" w:rsidRDefault="00533A7D" w:rsidP="00533A7D">
      <w:pPr>
        <w:tabs>
          <w:tab w:val="left" w:pos="240"/>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Guttalax sudėtyje yra lokalaus poveikio vidurių laisvinamoji medžiaga, kuri skatina storosios žarnos peristaltiką ir minkština išmatas.</w:t>
      </w:r>
    </w:p>
    <w:p w:rsidR="00533A7D" w:rsidRPr="0060190E" w:rsidRDefault="00533A7D" w:rsidP="00533A7D">
      <w:pPr>
        <w:tabs>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Kaip ir vidurių laisvinamieji vaistiniai preparatai, kurių poveikis pasireiškia storojoje žarnoje, Guttalax specifiškai stimuliuoja natūralų evakuacijos procesą galutinėje virškinimo trakto dalyje.</w:t>
      </w:r>
    </w:p>
    <w:p w:rsidR="00533A7D" w:rsidRPr="0060190E" w:rsidRDefault="00533A7D" w:rsidP="00533A7D">
      <w:pPr>
        <w:tabs>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Vadinasi, plonojoje žarnoje Guttalax nekeičia nei virškinimo, nei kaloringo ar kitokio maisto absorbcijos (patekimo į organizmą).</w:t>
      </w:r>
    </w:p>
    <w:p w:rsidR="00533A7D" w:rsidRPr="0060190E" w:rsidRDefault="00533A7D" w:rsidP="00533A7D">
      <w:pPr>
        <w:tabs>
          <w:tab w:val="left" w:pos="0"/>
          <w:tab w:val="left" w:pos="567"/>
        </w:tabs>
        <w:spacing w:after="0" w:line="240" w:lineRule="auto"/>
        <w:jc w:val="both"/>
        <w:rPr>
          <w:rFonts w:ascii="Times New Roman" w:eastAsia="Times New Roman" w:hAnsi="Times New Roman" w:cs="Times New Roman"/>
          <w:noProof/>
        </w:rPr>
      </w:pPr>
    </w:p>
    <w:p w:rsidR="00533A7D" w:rsidRPr="0060190E" w:rsidRDefault="00533A7D" w:rsidP="00533A7D">
      <w:pPr>
        <w:tabs>
          <w:tab w:val="left" w:pos="0"/>
          <w:tab w:val="left" w:pos="567"/>
        </w:tabs>
        <w:spacing w:after="0" w:line="240" w:lineRule="auto"/>
        <w:jc w:val="both"/>
        <w:rPr>
          <w:rFonts w:ascii="Times New Roman" w:eastAsia="Times New Roman" w:hAnsi="Times New Roman" w:cs="Times New Roman"/>
          <w:noProof/>
        </w:rPr>
      </w:pPr>
      <w:r w:rsidRPr="0060190E">
        <w:rPr>
          <w:rFonts w:ascii="Times New Roman" w:eastAsia="Times New Roman" w:hAnsi="Times New Roman" w:cs="Times New Roman"/>
          <w:noProof/>
        </w:rPr>
        <w:t>Guttalax vartojama, jei:</w:t>
      </w:r>
    </w:p>
    <w:p w:rsidR="00533A7D" w:rsidRPr="0060190E" w:rsidRDefault="00533A7D" w:rsidP="00533A7D">
      <w:pPr>
        <w:tabs>
          <w:tab w:val="left" w:pos="0"/>
          <w:tab w:val="left" w:pos="567"/>
        </w:tabs>
        <w:spacing w:after="0" w:line="240" w:lineRule="auto"/>
        <w:ind w:left="360" w:hanging="360"/>
        <w:jc w:val="both"/>
        <w:rPr>
          <w:rFonts w:ascii="Times New Roman" w:eastAsia="Times New Roman" w:hAnsi="Times New Roman" w:cs="Times New Roman"/>
          <w:noProof/>
        </w:rPr>
      </w:pPr>
      <w:r w:rsidRPr="0060190E">
        <w:rPr>
          <w:rFonts w:ascii="Times New Roman" w:eastAsia="Times New Roman" w:hAnsi="Times New Roman" w:cs="Times New Roman"/>
          <w:noProof/>
        </w:rPr>
        <w:t>-</w:t>
      </w:r>
      <w:r w:rsidRPr="0060190E">
        <w:rPr>
          <w:rFonts w:ascii="Times New Roman" w:eastAsia="Times New Roman" w:hAnsi="Times New Roman" w:cs="Times New Roman"/>
          <w:noProof/>
        </w:rPr>
        <w:tab/>
        <w:t>pacientas kenčia nuo vidurių užkietėjimo;</w:t>
      </w:r>
    </w:p>
    <w:p w:rsidR="00533A7D" w:rsidRPr="0060190E" w:rsidRDefault="00533A7D" w:rsidP="00533A7D">
      <w:pPr>
        <w:tabs>
          <w:tab w:val="left" w:pos="0"/>
          <w:tab w:val="left" w:pos="567"/>
        </w:tabs>
        <w:spacing w:after="0" w:line="240" w:lineRule="auto"/>
        <w:ind w:left="360" w:hanging="360"/>
        <w:jc w:val="both"/>
        <w:rPr>
          <w:rFonts w:ascii="Times New Roman" w:eastAsia="Times New Roman" w:hAnsi="Times New Roman" w:cs="Times New Roman"/>
          <w:noProof/>
        </w:rPr>
      </w:pPr>
      <w:r w:rsidRPr="0060190E">
        <w:rPr>
          <w:rFonts w:ascii="Times New Roman" w:eastAsia="Times New Roman" w:hAnsi="Times New Roman" w:cs="Times New Roman"/>
          <w:noProof/>
        </w:rPr>
        <w:t>-</w:t>
      </w:r>
      <w:r w:rsidRPr="0060190E">
        <w:rPr>
          <w:rFonts w:ascii="Times New Roman" w:eastAsia="Times New Roman" w:hAnsi="Times New Roman" w:cs="Times New Roman"/>
          <w:noProof/>
        </w:rPr>
        <w:tab/>
        <w:t>yra būklė, kai reikia palengvinti tuštinimąsi.</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rPr>
          <w:rFonts w:ascii="Times New Roman" w:eastAsia="Times New Roman" w:hAnsi="Times New Roman" w:cs="Times New Roman"/>
          <w:b/>
          <w:caps/>
          <w:noProof/>
        </w:rPr>
      </w:pPr>
      <w:r w:rsidRPr="0060190E">
        <w:rPr>
          <w:rFonts w:ascii="Times New Roman" w:eastAsia="Times New Roman" w:hAnsi="Times New Roman" w:cs="Times New Roman"/>
          <w:b/>
          <w:noProof/>
        </w:rPr>
        <w:t>2.</w:t>
      </w:r>
      <w:r w:rsidRPr="0060190E">
        <w:rPr>
          <w:rFonts w:ascii="Times New Roman" w:eastAsia="Times New Roman" w:hAnsi="Times New Roman" w:cs="Times New Roman"/>
          <w:b/>
          <w:noProof/>
        </w:rPr>
        <w:tab/>
        <w:t>Kas žinotina prieš vartojant Guttalax</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b/>
          <w:caps/>
          <w:noProof/>
        </w:rPr>
      </w:pPr>
      <w:r w:rsidRPr="0060190E">
        <w:rPr>
          <w:rFonts w:ascii="Times New Roman" w:eastAsia="Times New Roman" w:hAnsi="Times New Roman" w:cs="Times New Roman"/>
          <w:b/>
          <w:noProof/>
        </w:rPr>
        <w:t>Guttalax vartoti negalima</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w:t>
      </w:r>
      <w:r w:rsidRPr="0060190E">
        <w:rPr>
          <w:rFonts w:ascii="Times New Roman" w:eastAsia="Times New Roman" w:hAnsi="Times New Roman" w:cs="Times New Roman"/>
          <w:noProof/>
        </w:rPr>
        <w:tab/>
        <w:t>jeigu yra alergija (padidėjęs jautrumas) veiklajai medžiagai arba bet kuriai pagalbinei šio vaisto medžiagai (jos išvardytos 6 skyriuje);</w:t>
      </w:r>
    </w:p>
    <w:p w:rsidR="00533A7D" w:rsidRPr="0060190E" w:rsidRDefault="00533A7D" w:rsidP="00533A7D">
      <w:pPr>
        <w:numPr>
          <w:ilvl w:val="0"/>
          <w:numId w:val="1"/>
        </w:numPr>
        <w:spacing w:after="0" w:line="240" w:lineRule="auto"/>
        <w:ind w:left="600" w:hanging="600"/>
        <w:rPr>
          <w:rFonts w:ascii="Times New Roman" w:eastAsia="Times New Roman" w:hAnsi="Times New Roman" w:cs="Times New Roman"/>
          <w:noProof/>
        </w:rPr>
      </w:pPr>
      <w:r w:rsidRPr="0060190E">
        <w:rPr>
          <w:rFonts w:ascii="Times New Roman" w:eastAsia="Times New Roman" w:hAnsi="Times New Roman" w:cs="Times New Roman"/>
          <w:noProof/>
        </w:rPr>
        <w:t>jeigu yra žarnų nepraeinamumas arba žarnų užsikimšimas;</w:t>
      </w:r>
    </w:p>
    <w:p w:rsidR="00533A7D" w:rsidRDefault="00533A7D" w:rsidP="00533A7D">
      <w:pPr>
        <w:numPr>
          <w:ilvl w:val="0"/>
          <w:numId w:val="1"/>
        </w:numPr>
        <w:tabs>
          <w:tab w:val="num"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jeigu pasireiškė stiprus pilvo skausmas ir (arba) karščiavimas, atsiradęs dėl ūminės pilvo būklės (pvz., apendicito), galimai susijusios su pykinimu ir vėmimu;</w:t>
      </w:r>
    </w:p>
    <w:p w:rsidR="00533A7D" w:rsidRPr="0060190E" w:rsidRDefault="00533A7D" w:rsidP="00533A7D">
      <w:pPr>
        <w:tabs>
          <w:tab w:val="left" w:pos="567"/>
        </w:tabs>
        <w:spacing w:after="0" w:line="240" w:lineRule="auto"/>
        <w:ind w:left="360" w:hanging="360"/>
        <w:rPr>
          <w:rFonts w:ascii="Times New Roman" w:eastAsia="Times New Roman" w:hAnsi="Times New Roman" w:cs="Times New Roman"/>
          <w:noProof/>
        </w:rPr>
      </w:pPr>
      <w:r w:rsidRPr="0060190E">
        <w:rPr>
          <w:rFonts w:ascii="Times New Roman" w:eastAsia="Times New Roman" w:hAnsi="Times New Roman" w:cs="Times New Roman"/>
          <w:noProof/>
        </w:rPr>
        <w:t>-</w:t>
      </w:r>
      <w:r w:rsidRPr="0060190E">
        <w:rPr>
          <w:rFonts w:ascii="Times New Roman" w:eastAsia="Times New Roman" w:hAnsi="Times New Roman" w:cs="Times New Roman"/>
          <w:noProof/>
        </w:rPr>
        <w:tab/>
      </w:r>
      <w:r w:rsidRPr="0060190E">
        <w:rPr>
          <w:rFonts w:ascii="Times New Roman" w:eastAsia="Times New Roman" w:hAnsi="Times New Roman" w:cs="Times New Roman"/>
          <w:noProof/>
        </w:rPr>
        <w:tab/>
        <w:t>jeigu yra ūminis žarnų uždegimas;</w:t>
      </w:r>
    </w:p>
    <w:p w:rsidR="00533A7D" w:rsidRPr="0060190E" w:rsidRDefault="00533A7D" w:rsidP="00533A7D">
      <w:pPr>
        <w:tabs>
          <w:tab w:val="left" w:pos="567"/>
        </w:tabs>
        <w:spacing w:after="0" w:line="240" w:lineRule="auto"/>
        <w:ind w:left="360" w:hanging="360"/>
        <w:rPr>
          <w:rFonts w:ascii="Times New Roman" w:eastAsia="Times New Roman" w:hAnsi="Times New Roman" w:cs="Times New Roman"/>
          <w:noProof/>
        </w:rPr>
      </w:pPr>
      <w:r w:rsidRPr="0060190E">
        <w:rPr>
          <w:rFonts w:ascii="Times New Roman" w:eastAsia="Times New Roman" w:hAnsi="Times New Roman" w:cs="Times New Roman"/>
          <w:noProof/>
        </w:rPr>
        <w:t>-</w:t>
      </w:r>
      <w:r w:rsidRPr="0060190E">
        <w:rPr>
          <w:rFonts w:ascii="Times New Roman" w:eastAsia="Times New Roman" w:hAnsi="Times New Roman" w:cs="Times New Roman"/>
          <w:noProof/>
        </w:rPr>
        <w:tab/>
      </w:r>
      <w:r w:rsidRPr="0060190E">
        <w:rPr>
          <w:rFonts w:ascii="Times New Roman" w:eastAsia="Times New Roman" w:hAnsi="Times New Roman" w:cs="Times New Roman"/>
          <w:noProof/>
        </w:rPr>
        <w:tab/>
        <w:t>jeigu Jūsų organizmas neteko daug vandens;</w:t>
      </w:r>
    </w:p>
    <w:p w:rsidR="00533A7D" w:rsidRPr="0060190E" w:rsidRDefault="00533A7D" w:rsidP="00533A7D">
      <w:pPr>
        <w:tabs>
          <w:tab w:val="left" w:pos="567"/>
        </w:tabs>
        <w:spacing w:after="0" w:line="240" w:lineRule="auto"/>
        <w:ind w:left="360" w:hanging="360"/>
        <w:rPr>
          <w:rFonts w:ascii="Times New Roman" w:eastAsia="Times New Roman" w:hAnsi="Times New Roman" w:cs="Times New Roman"/>
          <w:noProof/>
        </w:rPr>
      </w:pPr>
      <w:r w:rsidRPr="0060190E">
        <w:rPr>
          <w:rFonts w:ascii="Times New Roman" w:eastAsia="Times New Roman" w:hAnsi="Times New Roman" w:cs="Times New Roman"/>
          <w:noProof/>
        </w:rPr>
        <w:t>-</w:t>
      </w:r>
      <w:r w:rsidRPr="0060190E">
        <w:rPr>
          <w:rFonts w:ascii="Times New Roman" w:eastAsia="Times New Roman" w:hAnsi="Times New Roman" w:cs="Times New Roman"/>
          <w:noProof/>
        </w:rPr>
        <w:tab/>
      </w:r>
      <w:r w:rsidRPr="0060190E">
        <w:rPr>
          <w:rFonts w:ascii="Times New Roman" w:eastAsia="Times New Roman" w:hAnsi="Times New Roman" w:cs="Times New Roman"/>
          <w:noProof/>
        </w:rPr>
        <w:tab/>
        <w:t>jaunesniems kaip 4 metų vaikams;</w:t>
      </w:r>
    </w:p>
    <w:p w:rsidR="00533A7D" w:rsidRPr="0060190E" w:rsidRDefault="00533A7D" w:rsidP="00533A7D">
      <w:pPr>
        <w:numPr>
          <w:ilvl w:val="0"/>
          <w:numId w:val="2"/>
        </w:numPr>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lastRenderedPageBreak/>
        <w:t>jeigu sergate reta paveldima liga, kuri gali būti nesuderinama su vaisto pagalbine medžiaga (žr. skyrių „Guttalax sudėtyje yra pagalbinės medžiagos sorbitolio”).</w:t>
      </w:r>
    </w:p>
    <w:p w:rsidR="00533A7D" w:rsidRPr="0060190E" w:rsidRDefault="00533A7D" w:rsidP="00533A7D">
      <w:pPr>
        <w:tabs>
          <w:tab w:val="left" w:pos="567"/>
        </w:tabs>
        <w:spacing w:after="0" w:line="240" w:lineRule="auto"/>
        <w:jc w:val="both"/>
        <w:rPr>
          <w:rFonts w:ascii="Times New Roman" w:eastAsia="Times New Roman" w:hAnsi="Times New Roman" w:cs="Times New Roman"/>
          <w:noProof/>
        </w:rPr>
      </w:pPr>
    </w:p>
    <w:p w:rsidR="00533A7D" w:rsidRPr="0060190E" w:rsidRDefault="00533A7D" w:rsidP="00533A7D">
      <w:pPr>
        <w:tabs>
          <w:tab w:val="left" w:pos="567"/>
        </w:tabs>
        <w:spacing w:after="0" w:line="240" w:lineRule="auto"/>
        <w:jc w:val="both"/>
        <w:rPr>
          <w:rFonts w:ascii="Times New Roman" w:eastAsia="Times New Roman" w:hAnsi="Times New Roman" w:cs="Times New Roman"/>
          <w:b/>
          <w:noProof/>
        </w:rPr>
      </w:pPr>
      <w:r w:rsidRPr="0060190E">
        <w:rPr>
          <w:rFonts w:ascii="Times New Roman" w:eastAsia="Times New Roman" w:hAnsi="Times New Roman" w:cs="Times New Roman"/>
          <w:b/>
          <w:noProof/>
        </w:rPr>
        <w:t>Įspėjimai ir atsargumo priemonės</w:t>
      </w:r>
    </w:p>
    <w:p w:rsidR="00533A7D" w:rsidRPr="0060190E" w:rsidRDefault="00533A7D" w:rsidP="00533A7D">
      <w:pPr>
        <w:tabs>
          <w:tab w:val="left" w:pos="0"/>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Pasitarkite su gydytoju arba vaistininku, arba slaugytoju, prieš pradėdami vartoti Guttalax:</w:t>
      </w:r>
    </w:p>
    <w:p w:rsidR="00533A7D" w:rsidRPr="0060190E" w:rsidRDefault="00533A7D" w:rsidP="00533A7D">
      <w:pPr>
        <w:numPr>
          <w:ilvl w:val="0"/>
          <w:numId w:val="2"/>
        </w:numPr>
        <w:tabs>
          <w:tab w:val="left" w:pos="0"/>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jeigu vidurių laisvinamųjų preparatų Jums reikia vartoti kasdien arba ilgai, tokiu atveju turite kreiptis į savo gydytoją, kad jis ištirtų vidurių užkietėjimo priežastį, kadangi ilgalaikis besaikis jų vartojimas gali sąlygoti skysčių ir elektrolitų pusiausvyros sutrikimą ir mažą kalio kiekį kraujyje (hipokalemiją).</w:t>
      </w:r>
    </w:p>
    <w:p w:rsidR="00533A7D" w:rsidRPr="0060190E" w:rsidRDefault="00533A7D" w:rsidP="00533A7D">
      <w:pPr>
        <w:numPr>
          <w:ilvl w:val="0"/>
          <w:numId w:val="2"/>
        </w:numPr>
        <w:tabs>
          <w:tab w:val="left" w:pos="0"/>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rPr>
        <w:t>Guttalax pavartojusiems žmonėms buvo galvos svaigimo ir (arba) apalpimo atvejų. Šie reiškiniai gali būti susiję su vidurių užkietėjimu (jėgų įtempimu tuštinimosi metu, pilvo skausmu) ir nebūtinai priklausyti nuo Guttalax vartojimo.</w:t>
      </w:r>
    </w:p>
    <w:p w:rsidR="00533A7D" w:rsidRPr="0060190E" w:rsidRDefault="00533A7D" w:rsidP="00533A7D">
      <w:pPr>
        <w:tabs>
          <w:tab w:val="left" w:pos="0"/>
          <w:tab w:val="left" w:pos="567"/>
        </w:tabs>
        <w:spacing w:after="0" w:line="240" w:lineRule="auto"/>
        <w:jc w:val="both"/>
        <w:rPr>
          <w:rFonts w:ascii="Times New Roman" w:eastAsia="Times New Roman" w:hAnsi="Times New Roman" w:cs="Times New Roman"/>
          <w:noProof/>
        </w:rPr>
      </w:pPr>
    </w:p>
    <w:p w:rsidR="00533A7D" w:rsidRPr="0060190E" w:rsidRDefault="00533A7D" w:rsidP="00533A7D">
      <w:pPr>
        <w:tabs>
          <w:tab w:val="left" w:pos="0"/>
          <w:tab w:val="left" w:pos="567"/>
        </w:tabs>
        <w:spacing w:after="0" w:line="240" w:lineRule="auto"/>
        <w:jc w:val="both"/>
        <w:rPr>
          <w:rFonts w:ascii="Times New Roman" w:eastAsia="Times New Roman" w:hAnsi="Times New Roman" w:cs="Times New Roman"/>
          <w:b/>
          <w:noProof/>
        </w:rPr>
      </w:pPr>
      <w:r w:rsidRPr="0060190E">
        <w:rPr>
          <w:rFonts w:ascii="Times New Roman" w:eastAsia="Times New Roman" w:hAnsi="Times New Roman" w:cs="Times New Roman"/>
          <w:b/>
          <w:noProof/>
        </w:rPr>
        <w:t>Vaikams ir paugliams</w:t>
      </w:r>
    </w:p>
    <w:p w:rsidR="00533A7D" w:rsidRPr="0060190E" w:rsidRDefault="00533A7D" w:rsidP="00533A7D">
      <w:pPr>
        <w:tabs>
          <w:tab w:val="left" w:pos="0"/>
          <w:tab w:val="left" w:pos="567"/>
        </w:tabs>
        <w:spacing w:after="0" w:line="240" w:lineRule="auto"/>
        <w:jc w:val="both"/>
        <w:rPr>
          <w:rFonts w:ascii="Times New Roman" w:eastAsia="Times New Roman" w:hAnsi="Times New Roman" w:cs="Times New Roman"/>
          <w:noProof/>
        </w:rPr>
      </w:pPr>
      <w:r w:rsidRPr="0060190E">
        <w:rPr>
          <w:rFonts w:ascii="Times New Roman" w:eastAsia="Times New Roman" w:hAnsi="Times New Roman" w:cs="Times New Roman"/>
          <w:noProof/>
        </w:rPr>
        <w:t>Vaikams be gydytojo leidimo vidurių laisvinamųjų vaistų vartoti negalima.</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b/>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b/>
          <w:noProof/>
        </w:rPr>
      </w:pPr>
      <w:r w:rsidRPr="0060190E">
        <w:rPr>
          <w:rFonts w:ascii="Times New Roman" w:eastAsia="Times New Roman" w:hAnsi="Times New Roman" w:cs="Times New Roman"/>
          <w:b/>
          <w:noProof/>
        </w:rPr>
        <w:t>Kiti vaistai ir Guttalax</w:t>
      </w:r>
    </w:p>
    <w:p w:rsidR="00533A7D" w:rsidRPr="0060190E" w:rsidRDefault="00533A7D" w:rsidP="00533A7D">
      <w:pPr>
        <w:tabs>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Jeigu vartojate arba neseniai vartojote kitų vaistų arba dėl to nesate tikri, apie tai pasakykite gydytojui arba vaistininkui.</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noProof/>
        </w:rPr>
      </w:pPr>
    </w:p>
    <w:p w:rsidR="00533A7D" w:rsidRPr="0060190E" w:rsidRDefault="00533A7D" w:rsidP="00533A7D">
      <w:pPr>
        <w:tabs>
          <w:tab w:val="left" w:pos="0"/>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Kartu su didele Guttalax doze vartojant diuretikų (šlapimo išsiskyrimą skatinančių preparatų) arba adrenokortikosteroidų (hormonų), gali didėti elektrolitų pusiausvyros sutrikimo rizika. Jeigu elektrolitų pusiausvyra sutrinka, gali padidėti jautrumas širdies glikozidams (širdies nepakankamumui ir ritmo sutrikimui gydyti vartojamiems vaistams, pvz., digoksinui).</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rPr>
      </w:pPr>
    </w:p>
    <w:p w:rsidR="00533A7D" w:rsidRPr="0060190E" w:rsidRDefault="00533A7D" w:rsidP="00533A7D">
      <w:pPr>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Kartu vartojami antibiotikai (vaistai bakterijų sukeltoms infekcinėms ligoms gydyti) gali silpninti Guttalax sukeliamą vidurių laisvinamąjį poveikį.</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b/>
          <w:noProof/>
        </w:rPr>
      </w:pPr>
      <w:r w:rsidRPr="0060190E">
        <w:rPr>
          <w:rFonts w:ascii="Times New Roman" w:eastAsia="Times New Roman" w:hAnsi="Times New Roman" w:cs="Times New Roman"/>
          <w:b/>
          <w:noProof/>
        </w:rPr>
        <w:t>Nėštumas, žindymo laikotarpis ir vaisingumas</w:t>
      </w:r>
    </w:p>
    <w:p w:rsidR="00533A7D" w:rsidRPr="0060190E" w:rsidRDefault="00533A7D" w:rsidP="00533A7D">
      <w:pPr>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Jeigu esate nėščia, žindote kūdikį, manote, kad galbūt esate nėščia arba planuojate pastoti, tai prieš vartodama šį vaistą, pasitarkite su gydytoju arba vaistininku.</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noProof/>
        </w:rPr>
      </w:pPr>
    </w:p>
    <w:p w:rsidR="00533A7D" w:rsidRPr="0060190E" w:rsidRDefault="00533A7D" w:rsidP="00533A7D">
      <w:pPr>
        <w:tabs>
          <w:tab w:val="left" w:pos="0"/>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Guttalax, kaip ir kitų vaistų, nėštumo laikotarpiu galima vartoti tik gydytojui leidus.</w:t>
      </w:r>
    </w:p>
    <w:p w:rsidR="00533A7D" w:rsidRPr="0060190E" w:rsidRDefault="00533A7D" w:rsidP="00533A7D">
      <w:pPr>
        <w:tabs>
          <w:tab w:val="left" w:pos="567"/>
        </w:tabs>
        <w:spacing w:after="0" w:line="240" w:lineRule="auto"/>
        <w:jc w:val="both"/>
        <w:rPr>
          <w:rFonts w:ascii="Times New Roman" w:eastAsia="Times New Roman" w:hAnsi="Times New Roman" w:cs="Times New Roman"/>
        </w:rPr>
      </w:pPr>
    </w:p>
    <w:p w:rsidR="00533A7D" w:rsidRPr="0060190E" w:rsidRDefault="00533A7D" w:rsidP="00533A7D">
      <w:pPr>
        <w:tabs>
          <w:tab w:val="left" w:pos="567"/>
        </w:tabs>
        <w:spacing w:after="0" w:line="240" w:lineRule="auto"/>
        <w:jc w:val="both"/>
        <w:rPr>
          <w:rFonts w:ascii="Times New Roman" w:eastAsia="Times New Roman" w:hAnsi="Times New Roman" w:cs="Times New Roman"/>
        </w:rPr>
      </w:pPr>
      <w:r w:rsidRPr="0060190E">
        <w:rPr>
          <w:rFonts w:ascii="Times New Roman" w:eastAsia="Times New Roman" w:hAnsi="Times New Roman" w:cs="Times New Roman"/>
        </w:rPr>
        <w:t>Žindymo laikotarpiu Guttalax vartoti galima.</w:t>
      </w:r>
    </w:p>
    <w:p w:rsidR="00533A7D" w:rsidRPr="0060190E" w:rsidRDefault="00533A7D" w:rsidP="00533A7D">
      <w:pPr>
        <w:tabs>
          <w:tab w:val="left" w:pos="567"/>
        </w:tabs>
        <w:spacing w:after="0" w:line="240" w:lineRule="auto"/>
        <w:jc w:val="both"/>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b/>
          <w:noProof/>
        </w:rPr>
      </w:pPr>
      <w:r w:rsidRPr="0060190E">
        <w:rPr>
          <w:rFonts w:ascii="Times New Roman" w:eastAsia="Times New Roman" w:hAnsi="Times New Roman" w:cs="Times New Roman"/>
          <w:b/>
          <w:noProof/>
        </w:rPr>
        <w:t>Vairavimas ir mechanizmų valdymas</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Guttalax poveikis gebėjimui vairuoti ir valdyti mechanizmus netirtas.</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Tačiau, esant vidurių užkietėjimui gali atsirasti pilvo diegliai, dėl kurių gali pasireikšti galvos svaigimas ir (arba) apalpimas</w:t>
      </w:r>
      <w:r w:rsidRPr="0060190E">
        <w:rPr>
          <w:rFonts w:ascii="Times New Roman" w:eastAsia="Times New Roman" w:hAnsi="Times New Roman" w:cs="Times New Roman"/>
          <w:b/>
        </w:rPr>
        <w:t>.</w:t>
      </w:r>
      <w:r w:rsidRPr="0060190E">
        <w:rPr>
          <w:rFonts w:ascii="Times New Roman" w:eastAsia="Times New Roman" w:hAnsi="Times New Roman" w:cs="Times New Roman"/>
        </w:rPr>
        <w:t xml:space="preserve"> Todėl, jei atsiranda pilvo diegliai, turite vengti galimai pavojingos veiklos, tokios kaip vairavimas ar mechanizmų valdymas.</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b/>
          <w:noProof/>
        </w:rPr>
      </w:pPr>
      <w:r w:rsidRPr="0060190E">
        <w:rPr>
          <w:rFonts w:ascii="Times New Roman" w:eastAsia="Times New Roman" w:hAnsi="Times New Roman" w:cs="Times New Roman"/>
          <w:b/>
          <w:noProof/>
        </w:rPr>
        <w:t>Guttalax sudėtyje yra sorbitolio</w:t>
      </w:r>
    </w:p>
    <w:p w:rsidR="00533A7D" w:rsidRPr="00F64E76" w:rsidRDefault="00533A7D" w:rsidP="00533A7D">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Kiekviename šio vaisto laše yra</w:t>
      </w:r>
      <w:r w:rsidRPr="006C335A">
        <w:rPr>
          <w:rFonts w:ascii="Times New Roman" w:eastAsia="Times New Roman" w:hAnsi="Times New Roman" w:cs="Times New Roman"/>
        </w:rPr>
        <w:t xml:space="preserve"> 43</w:t>
      </w:r>
      <w:r>
        <w:rPr>
          <w:rFonts w:ascii="Times New Roman" w:eastAsia="Times New Roman" w:hAnsi="Times New Roman" w:cs="Times New Roman"/>
        </w:rPr>
        <w:t> </w:t>
      </w:r>
      <w:r w:rsidRPr="006C335A">
        <w:rPr>
          <w:rFonts w:ascii="Times New Roman" w:eastAsia="Times New Roman" w:hAnsi="Times New Roman" w:cs="Times New Roman"/>
        </w:rPr>
        <w:t>mg sorbitol</w:t>
      </w:r>
      <w:r>
        <w:rPr>
          <w:rFonts w:ascii="Times New Roman" w:eastAsia="Times New Roman" w:hAnsi="Times New Roman" w:cs="Times New Roman"/>
        </w:rPr>
        <w:t>io, tai atitinka</w:t>
      </w:r>
      <w:r w:rsidRPr="006C335A">
        <w:rPr>
          <w:rFonts w:ascii="Times New Roman" w:eastAsia="Times New Roman" w:hAnsi="Times New Roman" w:cs="Times New Roman"/>
        </w:rPr>
        <w:t xml:space="preserve"> 643</w:t>
      </w:r>
      <w:r>
        <w:rPr>
          <w:rFonts w:ascii="Times New Roman" w:eastAsia="Times New Roman" w:hAnsi="Times New Roman" w:cs="Times New Roman"/>
        </w:rPr>
        <w:t>,</w:t>
      </w:r>
      <w:r w:rsidRPr="006C335A">
        <w:rPr>
          <w:rFonts w:ascii="Times New Roman" w:eastAsia="Times New Roman" w:hAnsi="Times New Roman" w:cs="Times New Roman"/>
        </w:rPr>
        <w:t>7</w:t>
      </w:r>
      <w:r>
        <w:rPr>
          <w:rFonts w:ascii="Times New Roman" w:eastAsia="Times New Roman" w:hAnsi="Times New Roman" w:cs="Times New Roman"/>
        </w:rPr>
        <w:t> </w:t>
      </w:r>
      <w:r w:rsidRPr="006C335A">
        <w:rPr>
          <w:rFonts w:ascii="Times New Roman" w:eastAsia="Times New Roman" w:hAnsi="Times New Roman" w:cs="Times New Roman"/>
        </w:rPr>
        <w:t>mg/m</w:t>
      </w:r>
      <w:r>
        <w:rPr>
          <w:rFonts w:ascii="Times New Roman" w:eastAsia="Times New Roman" w:hAnsi="Times New Roman" w:cs="Times New Roman"/>
        </w:rPr>
        <w:t>l</w:t>
      </w:r>
      <w:r w:rsidRPr="006C335A">
        <w:rPr>
          <w:rFonts w:ascii="Times New Roman" w:eastAsia="Times New Roman" w:hAnsi="Times New Roman" w:cs="Times New Roman"/>
        </w:rPr>
        <w:t>.</w:t>
      </w:r>
    </w:p>
    <w:p w:rsidR="00533A7D" w:rsidRDefault="00533A7D" w:rsidP="00533A7D">
      <w:pPr>
        <w:tabs>
          <w:tab w:val="left" w:pos="0"/>
        </w:tabs>
        <w:spacing w:after="0" w:line="240" w:lineRule="auto"/>
        <w:rPr>
          <w:rFonts w:ascii="Times New Roman" w:eastAsia="Times New Roman" w:hAnsi="Times New Roman" w:cs="Times New Roman"/>
        </w:rPr>
      </w:pPr>
      <w:r w:rsidRPr="00753BF1">
        <w:rPr>
          <w:rFonts w:ascii="Times New Roman" w:eastAsia="Times New Roman" w:hAnsi="Times New Roman" w:cs="Times New Roman"/>
        </w:rPr>
        <w:t>Sorbitolis yra fruktozės šaltinis. Jeigu gydytojas yra</w:t>
      </w:r>
      <w:r>
        <w:rPr>
          <w:rFonts w:ascii="Times New Roman" w:eastAsia="Times New Roman" w:hAnsi="Times New Roman" w:cs="Times New Roman"/>
        </w:rPr>
        <w:t xml:space="preserve"> </w:t>
      </w:r>
      <w:r w:rsidRPr="00753BF1">
        <w:rPr>
          <w:rFonts w:ascii="Times New Roman" w:eastAsia="Times New Roman" w:hAnsi="Times New Roman" w:cs="Times New Roman"/>
        </w:rPr>
        <w:t>sakęs, kad Jūs (ar Jūsų vaikas) netoleruojate kokių</w:t>
      </w:r>
      <w:r>
        <w:rPr>
          <w:rFonts w:ascii="Times New Roman" w:eastAsia="Times New Roman" w:hAnsi="Times New Roman" w:cs="Times New Roman"/>
        </w:rPr>
        <w:t xml:space="preserve"> </w:t>
      </w:r>
      <w:r w:rsidRPr="00753BF1">
        <w:rPr>
          <w:rFonts w:ascii="Times New Roman" w:eastAsia="Times New Roman" w:hAnsi="Times New Roman" w:cs="Times New Roman"/>
        </w:rPr>
        <w:t>nors angliavandenių, ar Jums nustatytas retas</w:t>
      </w:r>
      <w:r>
        <w:rPr>
          <w:rFonts w:ascii="Times New Roman" w:eastAsia="Times New Roman" w:hAnsi="Times New Roman" w:cs="Times New Roman"/>
        </w:rPr>
        <w:t xml:space="preserve"> </w:t>
      </w:r>
      <w:r w:rsidRPr="00753BF1">
        <w:rPr>
          <w:rFonts w:ascii="Times New Roman" w:eastAsia="Times New Roman" w:hAnsi="Times New Roman" w:cs="Times New Roman"/>
        </w:rPr>
        <w:t>genetinis sutrikimas įgimtas fruktozės</w:t>
      </w:r>
      <w:r>
        <w:rPr>
          <w:rFonts w:ascii="Times New Roman" w:eastAsia="Times New Roman" w:hAnsi="Times New Roman" w:cs="Times New Roman"/>
        </w:rPr>
        <w:t xml:space="preserve"> </w:t>
      </w:r>
      <w:r w:rsidRPr="00753BF1">
        <w:rPr>
          <w:rFonts w:ascii="Times New Roman" w:eastAsia="Times New Roman" w:hAnsi="Times New Roman" w:cs="Times New Roman"/>
        </w:rPr>
        <w:t>netoleravimas (ĮFN), kurio atveju organizmas</w:t>
      </w:r>
      <w:r>
        <w:rPr>
          <w:rFonts w:ascii="Times New Roman" w:eastAsia="Times New Roman" w:hAnsi="Times New Roman" w:cs="Times New Roman"/>
        </w:rPr>
        <w:t xml:space="preserve"> </w:t>
      </w:r>
      <w:r w:rsidRPr="00753BF1">
        <w:rPr>
          <w:rFonts w:ascii="Times New Roman" w:eastAsia="Times New Roman" w:hAnsi="Times New Roman" w:cs="Times New Roman"/>
        </w:rPr>
        <w:t>negali suskaidyti fruktozės, prieš vartodami šio</w:t>
      </w:r>
      <w:r>
        <w:rPr>
          <w:rFonts w:ascii="Times New Roman" w:eastAsia="Times New Roman" w:hAnsi="Times New Roman" w:cs="Times New Roman"/>
        </w:rPr>
        <w:t xml:space="preserve"> </w:t>
      </w:r>
      <w:r w:rsidRPr="00753BF1">
        <w:rPr>
          <w:rFonts w:ascii="Times New Roman" w:eastAsia="Times New Roman" w:hAnsi="Times New Roman" w:cs="Times New Roman"/>
        </w:rPr>
        <w:t>vaisto (ar prieš duodami jo Jūsų vaikui), pasakykite</w:t>
      </w:r>
      <w:r>
        <w:rPr>
          <w:rFonts w:ascii="Times New Roman" w:eastAsia="Times New Roman" w:hAnsi="Times New Roman" w:cs="Times New Roman"/>
        </w:rPr>
        <w:t xml:space="preserve"> </w:t>
      </w:r>
      <w:r w:rsidRPr="00753BF1">
        <w:rPr>
          <w:rFonts w:ascii="Times New Roman" w:eastAsia="Times New Roman" w:hAnsi="Times New Roman" w:cs="Times New Roman"/>
        </w:rPr>
        <w:t>gydytojui.</w:t>
      </w:r>
    </w:p>
    <w:p w:rsidR="00533A7D" w:rsidRPr="00D901A2" w:rsidRDefault="00533A7D" w:rsidP="00533A7D">
      <w:pPr>
        <w:tabs>
          <w:tab w:val="left" w:pos="0"/>
        </w:tabs>
        <w:spacing w:after="0" w:line="240" w:lineRule="auto"/>
        <w:rPr>
          <w:rFonts w:ascii="Times New Roman" w:eastAsia="Times New Roman" w:hAnsi="Times New Roman" w:cs="Times New Roman"/>
        </w:rPr>
      </w:pPr>
    </w:p>
    <w:p w:rsidR="00533A7D" w:rsidRPr="00D901A2" w:rsidRDefault="00533A7D" w:rsidP="00533A7D">
      <w:pPr>
        <w:autoSpaceDE w:val="0"/>
        <w:autoSpaceDN w:val="0"/>
        <w:adjustRightInd w:val="0"/>
        <w:spacing w:after="0" w:line="240" w:lineRule="auto"/>
        <w:rPr>
          <w:rFonts w:ascii="Times New Roman" w:eastAsia="Times New Roman" w:hAnsi="Times New Roman" w:cs="Times New Roman"/>
          <w:b/>
        </w:rPr>
      </w:pPr>
      <w:r w:rsidRPr="00D901A2">
        <w:rPr>
          <w:rFonts w:ascii="Times New Roman" w:eastAsia="Times New Roman" w:hAnsi="Times New Roman" w:cs="Times New Roman"/>
          <w:b/>
          <w:bCs/>
        </w:rPr>
        <w:t>Guttalax su</w:t>
      </w:r>
      <w:r w:rsidRPr="00D901A2">
        <w:rPr>
          <w:rFonts w:ascii="Times New Roman" w:eastAsia="Times New Roman" w:hAnsi="Times New Roman" w:cs="Times New Roman"/>
          <w:b/>
        </w:rPr>
        <w:t>dėtyje yra natrio</w:t>
      </w:r>
    </w:p>
    <w:p w:rsidR="00533A7D" w:rsidRPr="0060190E" w:rsidRDefault="00533A7D" w:rsidP="00533A7D">
      <w:pPr>
        <w:tabs>
          <w:tab w:val="left" w:pos="0"/>
        </w:tabs>
        <w:spacing w:after="0" w:line="240" w:lineRule="auto"/>
        <w:rPr>
          <w:rFonts w:ascii="Times New Roman" w:eastAsia="Times New Roman" w:hAnsi="Times New Roman" w:cs="Times New Roman"/>
        </w:rPr>
      </w:pPr>
      <w:r w:rsidRPr="00D901A2">
        <w:rPr>
          <w:rFonts w:ascii="Times New Roman" w:eastAsia="Times New Roman" w:hAnsi="Times New Roman" w:cs="Times New Roman"/>
        </w:rPr>
        <w:lastRenderedPageBreak/>
        <w:t>Šio vaisto 1 ml tirpalo (15 lašų) yra mažiau kaip 1 mmol (23 mg) natrio, t. y. jis beveik neturi reikšmės.</w:t>
      </w:r>
    </w:p>
    <w:p w:rsidR="00533A7D" w:rsidRDefault="00533A7D" w:rsidP="00533A7D">
      <w:pPr>
        <w:numPr>
          <w:ilvl w:val="12"/>
          <w:numId w:val="0"/>
        </w:num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numPr>
          <w:ilvl w:val="12"/>
          <w:numId w:val="0"/>
        </w:numPr>
        <w:tabs>
          <w:tab w:val="left" w:pos="567"/>
        </w:tabs>
        <w:spacing w:after="0" w:line="240" w:lineRule="auto"/>
        <w:ind w:left="567" w:hanging="567"/>
        <w:rPr>
          <w:rFonts w:ascii="Times New Roman" w:eastAsia="Times New Roman" w:hAnsi="Times New Roman" w:cs="Times New Roman"/>
          <w:b/>
          <w:noProof/>
        </w:rPr>
      </w:pPr>
    </w:p>
    <w:p w:rsidR="00533A7D" w:rsidRPr="0060190E" w:rsidRDefault="00533A7D" w:rsidP="00533A7D">
      <w:pPr>
        <w:numPr>
          <w:ilvl w:val="12"/>
          <w:numId w:val="0"/>
        </w:numPr>
        <w:tabs>
          <w:tab w:val="left" w:pos="567"/>
        </w:tabs>
        <w:spacing w:after="0" w:line="240" w:lineRule="auto"/>
        <w:ind w:left="567" w:hanging="567"/>
        <w:rPr>
          <w:rFonts w:ascii="Times New Roman" w:eastAsia="Times New Roman" w:hAnsi="Times New Roman" w:cs="Times New Roman"/>
          <w:b/>
          <w:caps/>
          <w:noProof/>
        </w:rPr>
      </w:pPr>
      <w:r w:rsidRPr="0060190E">
        <w:rPr>
          <w:rFonts w:ascii="Times New Roman" w:eastAsia="Times New Roman" w:hAnsi="Times New Roman" w:cs="Times New Roman"/>
          <w:b/>
          <w:noProof/>
        </w:rPr>
        <w:t>3.</w:t>
      </w:r>
      <w:r w:rsidRPr="0060190E">
        <w:rPr>
          <w:rFonts w:ascii="Times New Roman" w:eastAsia="Times New Roman" w:hAnsi="Times New Roman" w:cs="Times New Roman"/>
          <w:b/>
          <w:noProof/>
        </w:rPr>
        <w:tab/>
        <w:t>Kaip vartoti Guttalax</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Visada vartokite šį vaistą tiksliai kaip aprašyta šiame lapelyje arba kaip nurodė gydytojas arba vaistininkas. Jeigu abejojate, kreipkitės į gydytoją arba vaistininką.</w:t>
      </w:r>
    </w:p>
    <w:p w:rsidR="00533A7D" w:rsidRPr="0060190E" w:rsidRDefault="00533A7D" w:rsidP="00533A7D">
      <w:pPr>
        <w:tabs>
          <w:tab w:val="left" w:pos="0"/>
          <w:tab w:val="left" w:pos="567"/>
        </w:tabs>
        <w:spacing w:after="0" w:line="240" w:lineRule="auto"/>
        <w:jc w:val="both"/>
        <w:rPr>
          <w:rFonts w:ascii="Times New Roman" w:eastAsia="Times New Roman" w:hAnsi="Times New Roman" w:cs="Times New Roman"/>
          <w:noProof/>
          <w:lang w:eastAsia="lt-LT"/>
        </w:rPr>
      </w:pPr>
    </w:p>
    <w:p w:rsidR="00533A7D" w:rsidRPr="0060190E" w:rsidRDefault="00533A7D" w:rsidP="00533A7D">
      <w:pPr>
        <w:tabs>
          <w:tab w:val="left" w:pos="0"/>
          <w:tab w:val="left" w:pos="567"/>
        </w:tabs>
        <w:spacing w:after="0" w:line="240" w:lineRule="auto"/>
        <w:rPr>
          <w:rFonts w:ascii="Times New Roman" w:eastAsia="Times New Roman" w:hAnsi="Times New Roman" w:cs="Times New Roman"/>
          <w:noProof/>
          <w:u w:val="single"/>
          <w:lang w:eastAsia="lt-LT"/>
        </w:rPr>
      </w:pPr>
      <w:r w:rsidRPr="0060190E">
        <w:rPr>
          <w:rFonts w:ascii="Times New Roman" w:eastAsia="Times New Roman" w:hAnsi="Times New Roman" w:cs="Times New Roman"/>
          <w:noProof/>
          <w:u w:val="single"/>
          <w:lang w:eastAsia="lt-LT"/>
        </w:rPr>
        <w:t>Rekomenduojamos</w:t>
      </w:r>
      <w:r w:rsidRPr="0060190E">
        <w:rPr>
          <w:rFonts w:ascii="Times New Roman" w:eastAsia="Times New Roman" w:hAnsi="Times New Roman" w:cs="Times New Roman"/>
          <w:u w:val="single"/>
          <w:lang w:eastAsia="lt-LT"/>
        </w:rPr>
        <w:t xml:space="preserve"> </w:t>
      </w:r>
      <w:r w:rsidRPr="0060190E">
        <w:rPr>
          <w:rFonts w:ascii="Times New Roman" w:eastAsia="Times New Roman" w:hAnsi="Times New Roman" w:cs="Times New Roman"/>
          <w:noProof/>
          <w:u w:val="single"/>
          <w:lang w:eastAsia="lt-LT"/>
        </w:rPr>
        <w:t>preparato dozės</w:t>
      </w:r>
    </w:p>
    <w:p w:rsidR="00533A7D" w:rsidRPr="0060190E" w:rsidRDefault="00533A7D" w:rsidP="00533A7D">
      <w:pPr>
        <w:tabs>
          <w:tab w:val="left" w:pos="0"/>
        </w:tabs>
        <w:spacing w:after="0" w:line="240" w:lineRule="auto"/>
        <w:rPr>
          <w:rFonts w:ascii="Times New Roman" w:eastAsia="Times New Roman" w:hAnsi="Times New Roman" w:cs="Times New Roman"/>
          <w:i/>
          <w:noProof/>
          <w:lang w:eastAsia="lt-LT"/>
        </w:rPr>
      </w:pPr>
    </w:p>
    <w:p w:rsidR="00533A7D" w:rsidRDefault="00533A7D" w:rsidP="00533A7D">
      <w:pPr>
        <w:tabs>
          <w:tab w:val="left" w:pos="0"/>
        </w:tabs>
        <w:spacing w:after="0" w:line="240" w:lineRule="auto"/>
        <w:rPr>
          <w:rFonts w:ascii="Times New Roman" w:eastAsia="Times New Roman" w:hAnsi="Times New Roman" w:cs="Times New Roman"/>
          <w:i/>
          <w:lang w:eastAsia="lt-LT"/>
        </w:rPr>
      </w:pPr>
      <w:r w:rsidRPr="0060190E">
        <w:rPr>
          <w:rFonts w:ascii="Times New Roman" w:eastAsia="Times New Roman" w:hAnsi="Times New Roman" w:cs="Times New Roman"/>
          <w:i/>
          <w:noProof/>
          <w:lang w:eastAsia="lt-LT"/>
        </w:rPr>
        <w:t>Suaugusiems</w:t>
      </w:r>
      <w:r w:rsidRPr="0060190E">
        <w:rPr>
          <w:rFonts w:ascii="Times New Roman" w:eastAsia="Times New Roman" w:hAnsi="Times New Roman" w:cs="Times New Roman"/>
          <w:i/>
          <w:lang w:eastAsia="lt-LT"/>
        </w:rPr>
        <w:t xml:space="preserve"> žmonėms</w:t>
      </w:r>
    </w:p>
    <w:p w:rsidR="00533A7D" w:rsidRPr="0060190E" w:rsidRDefault="00533A7D" w:rsidP="00533A7D">
      <w:pPr>
        <w:tabs>
          <w:tab w:val="left" w:pos="0"/>
        </w:tabs>
        <w:spacing w:after="0" w:line="240" w:lineRule="auto"/>
        <w:rPr>
          <w:rFonts w:ascii="Times New Roman" w:eastAsia="Times New Roman" w:hAnsi="Times New Roman" w:cs="Times New Roman"/>
          <w:noProof/>
          <w:lang w:eastAsia="lt-LT"/>
        </w:rPr>
      </w:pPr>
      <w:r w:rsidRPr="0060190E">
        <w:rPr>
          <w:rFonts w:ascii="Times New Roman" w:eastAsia="Times New Roman" w:hAnsi="Times New Roman" w:cs="Times New Roman"/>
          <w:noProof/>
          <w:lang w:eastAsia="lt-LT"/>
        </w:rPr>
        <w:t>Paros</w:t>
      </w:r>
      <w:r w:rsidRPr="0060190E">
        <w:rPr>
          <w:rFonts w:ascii="Times New Roman" w:eastAsia="Times New Roman" w:hAnsi="Times New Roman" w:cs="Times New Roman"/>
          <w:lang w:eastAsia="lt-LT"/>
        </w:rPr>
        <w:t xml:space="preserve"> </w:t>
      </w:r>
      <w:r w:rsidRPr="0060190E">
        <w:rPr>
          <w:rFonts w:ascii="Times New Roman" w:eastAsia="Times New Roman" w:hAnsi="Times New Roman" w:cs="Times New Roman"/>
          <w:noProof/>
          <w:lang w:eastAsia="lt-LT"/>
        </w:rPr>
        <w:t>dozė yra 10 - 20 lašų (5 –10 mg), gydymą pradedant nuo 10 lašų. Dozę galima koreguoti iki didžiausios, t. y. 20 lašų. Didžiausios paros dozės , t.y. 20 lašų, viršyti negalima.</w:t>
      </w:r>
    </w:p>
    <w:p w:rsidR="00533A7D" w:rsidRPr="0060190E" w:rsidRDefault="00533A7D" w:rsidP="00533A7D">
      <w:pPr>
        <w:tabs>
          <w:tab w:val="left" w:pos="0"/>
        </w:tabs>
        <w:spacing w:after="0" w:line="240" w:lineRule="auto"/>
        <w:rPr>
          <w:rFonts w:ascii="Times New Roman" w:eastAsia="Times New Roman" w:hAnsi="Times New Roman" w:cs="Times New Roman"/>
          <w:noProof/>
          <w:lang w:eastAsia="lt-LT"/>
        </w:rPr>
      </w:pPr>
    </w:p>
    <w:p w:rsidR="00533A7D" w:rsidRPr="0060190E" w:rsidRDefault="00533A7D" w:rsidP="00533A7D">
      <w:pPr>
        <w:keepNext/>
        <w:tabs>
          <w:tab w:val="left" w:pos="0"/>
        </w:tabs>
        <w:spacing w:after="0" w:line="240" w:lineRule="auto"/>
        <w:rPr>
          <w:rFonts w:ascii="Times New Roman" w:eastAsia="Times New Roman" w:hAnsi="Times New Roman" w:cs="Times New Roman"/>
          <w:i/>
          <w:noProof/>
          <w:u w:val="single"/>
          <w:lang w:eastAsia="lt-LT"/>
        </w:rPr>
      </w:pPr>
      <w:r w:rsidRPr="0060190E">
        <w:rPr>
          <w:rFonts w:ascii="Times New Roman" w:eastAsia="Times New Roman" w:hAnsi="Times New Roman" w:cs="Times New Roman"/>
          <w:b/>
          <w:lang w:eastAsia="lt-LT"/>
        </w:rPr>
        <w:t>Vartojimas vaikams ir paaugliams</w:t>
      </w:r>
    </w:p>
    <w:p w:rsidR="00533A7D" w:rsidRPr="0060190E" w:rsidRDefault="00533A7D" w:rsidP="00533A7D">
      <w:pPr>
        <w:keepNext/>
        <w:tabs>
          <w:tab w:val="left" w:pos="0"/>
        </w:tabs>
        <w:spacing w:after="0" w:line="240" w:lineRule="auto"/>
        <w:rPr>
          <w:rFonts w:ascii="Times New Roman" w:eastAsia="Times New Roman" w:hAnsi="Times New Roman" w:cs="Times New Roman"/>
          <w:noProof/>
          <w:lang w:eastAsia="lt-LT"/>
        </w:rPr>
      </w:pPr>
      <w:r w:rsidRPr="0060190E">
        <w:rPr>
          <w:rFonts w:ascii="Times New Roman" w:eastAsia="Times New Roman" w:hAnsi="Times New Roman" w:cs="Times New Roman"/>
          <w:i/>
          <w:noProof/>
          <w:lang w:eastAsia="lt-LT"/>
        </w:rPr>
        <w:t>Vyresniems, kaip 10 metų vaikams</w:t>
      </w:r>
      <w:r w:rsidRPr="0060190E">
        <w:rPr>
          <w:rFonts w:ascii="Times New Roman" w:eastAsia="Times New Roman" w:hAnsi="Times New Roman" w:cs="Times New Roman"/>
          <w:noProof/>
          <w:lang w:eastAsia="lt-LT"/>
        </w:rPr>
        <w:t xml:space="preserve"> skiriama 10-20 lašų (5-10 mg) paros dozė. Gydymas pradedamas nuo 10 lašų. Dozę galima didinti iki didžiausios, t.y. 20 lašų. Didžiausios paros dozės , t.y. 20 lašų, viršyti negalima.</w:t>
      </w:r>
    </w:p>
    <w:p w:rsidR="00533A7D" w:rsidRPr="0060190E" w:rsidRDefault="00533A7D" w:rsidP="00533A7D">
      <w:pPr>
        <w:tabs>
          <w:tab w:val="left" w:pos="0"/>
        </w:tabs>
        <w:spacing w:after="0" w:line="240" w:lineRule="auto"/>
        <w:rPr>
          <w:rFonts w:ascii="Times New Roman" w:eastAsia="Times New Roman" w:hAnsi="Times New Roman" w:cs="Times New Roman"/>
          <w:noProof/>
          <w:lang w:eastAsia="lt-LT"/>
        </w:rPr>
      </w:pPr>
    </w:p>
    <w:p w:rsidR="00533A7D" w:rsidRPr="0060190E" w:rsidRDefault="00533A7D" w:rsidP="00533A7D">
      <w:pPr>
        <w:tabs>
          <w:tab w:val="left" w:pos="0"/>
        </w:tabs>
        <w:spacing w:after="0" w:line="240" w:lineRule="auto"/>
        <w:rPr>
          <w:rFonts w:ascii="Times New Roman" w:eastAsia="Times New Roman" w:hAnsi="Times New Roman" w:cs="Times New Roman"/>
          <w:i/>
          <w:noProof/>
          <w:lang w:eastAsia="lt-LT"/>
        </w:rPr>
      </w:pPr>
      <w:r w:rsidRPr="0060190E">
        <w:rPr>
          <w:rFonts w:ascii="Times New Roman" w:eastAsia="Times New Roman" w:hAnsi="Times New Roman" w:cs="Times New Roman"/>
          <w:i/>
          <w:lang w:eastAsia="lt-LT"/>
        </w:rPr>
        <w:t>4 - 10 metų vaikams</w:t>
      </w:r>
    </w:p>
    <w:p w:rsidR="00533A7D" w:rsidRPr="0060190E" w:rsidRDefault="00533A7D" w:rsidP="00533A7D">
      <w:pPr>
        <w:tabs>
          <w:tab w:val="left" w:pos="0"/>
        </w:tabs>
        <w:spacing w:after="0" w:line="240" w:lineRule="auto"/>
        <w:rPr>
          <w:rFonts w:ascii="Times New Roman" w:eastAsia="Times New Roman" w:hAnsi="Times New Roman" w:cs="Times New Roman"/>
          <w:lang w:eastAsia="lt-LT"/>
        </w:rPr>
      </w:pPr>
      <w:r w:rsidRPr="0060190E">
        <w:rPr>
          <w:rFonts w:ascii="Times New Roman" w:eastAsia="Times New Roman" w:hAnsi="Times New Roman" w:cs="Times New Roman"/>
          <w:noProof/>
          <w:lang w:eastAsia="lt-LT"/>
        </w:rPr>
        <w:t>Paros</w:t>
      </w:r>
      <w:r w:rsidRPr="0060190E">
        <w:rPr>
          <w:rFonts w:ascii="Times New Roman" w:eastAsia="Times New Roman" w:hAnsi="Times New Roman" w:cs="Times New Roman"/>
          <w:lang w:eastAsia="lt-LT"/>
        </w:rPr>
        <w:t xml:space="preserve"> dozė yra 5</w:t>
      </w:r>
      <w:r w:rsidRPr="0060190E">
        <w:rPr>
          <w:rFonts w:ascii="Times New Roman" w:eastAsia="Times New Roman" w:hAnsi="Times New Roman" w:cs="Times New Roman"/>
          <w:noProof/>
          <w:lang w:eastAsia="lt-LT"/>
        </w:rPr>
        <w:t>-</w:t>
      </w:r>
      <w:r w:rsidRPr="0060190E">
        <w:rPr>
          <w:rFonts w:ascii="Times New Roman" w:eastAsia="Times New Roman" w:hAnsi="Times New Roman" w:cs="Times New Roman"/>
          <w:lang w:eastAsia="lt-LT"/>
        </w:rPr>
        <w:t>10 lašų (2,5</w:t>
      </w:r>
      <w:r w:rsidRPr="0060190E">
        <w:rPr>
          <w:rFonts w:ascii="Times New Roman" w:eastAsia="Times New Roman" w:hAnsi="Times New Roman" w:cs="Times New Roman"/>
          <w:noProof/>
          <w:lang w:eastAsia="lt-LT"/>
        </w:rPr>
        <w:t>-5 mg) . Gydymas pradedamas nuo 5 lašų. Dozę galima didinti iki didžiausios, t.y. 10 lašų. Didžiausios paros dozės, t.y. 10 lašų, viršyti negalima.</w:t>
      </w:r>
    </w:p>
    <w:p w:rsidR="00533A7D" w:rsidRPr="0060190E" w:rsidRDefault="00533A7D" w:rsidP="00533A7D">
      <w:pPr>
        <w:tabs>
          <w:tab w:val="left" w:pos="0"/>
        </w:tabs>
        <w:spacing w:after="0" w:line="240" w:lineRule="auto"/>
        <w:rPr>
          <w:rFonts w:ascii="Times New Roman" w:eastAsia="Times New Roman" w:hAnsi="Times New Roman" w:cs="Times New Roman"/>
          <w:noProof/>
          <w:lang w:eastAsia="lt-LT"/>
        </w:rPr>
      </w:pPr>
    </w:p>
    <w:p w:rsidR="00533A7D" w:rsidRPr="0060190E" w:rsidRDefault="00533A7D" w:rsidP="00533A7D">
      <w:pPr>
        <w:tabs>
          <w:tab w:val="left" w:pos="0"/>
        </w:tabs>
        <w:spacing w:after="0" w:line="240" w:lineRule="auto"/>
        <w:rPr>
          <w:rFonts w:ascii="Times New Roman" w:eastAsia="Times New Roman" w:hAnsi="Times New Roman" w:cs="Times New Roman"/>
          <w:i/>
          <w:noProof/>
          <w:lang w:eastAsia="lt-LT"/>
        </w:rPr>
      </w:pPr>
      <w:r w:rsidRPr="0060190E">
        <w:rPr>
          <w:rFonts w:ascii="Times New Roman" w:eastAsia="Times New Roman" w:hAnsi="Times New Roman" w:cs="Times New Roman"/>
          <w:i/>
          <w:noProof/>
          <w:lang w:eastAsia="lt-LT"/>
        </w:rPr>
        <w:t>Jaunesniems kaip 4 metų vaikams Guttalax vartoti negalima.</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noProof/>
        </w:rPr>
      </w:pPr>
    </w:p>
    <w:p w:rsidR="00533A7D" w:rsidRPr="0060190E" w:rsidRDefault="00533A7D" w:rsidP="00533A7D">
      <w:pPr>
        <w:tabs>
          <w:tab w:val="left" w:pos="0"/>
          <w:tab w:val="left" w:pos="567"/>
        </w:tabs>
        <w:spacing w:after="0" w:line="240" w:lineRule="auto"/>
        <w:rPr>
          <w:rFonts w:ascii="Times New Roman" w:eastAsia="Times New Roman" w:hAnsi="Times New Roman" w:cs="Times New Roman"/>
          <w:i/>
          <w:noProof/>
        </w:rPr>
      </w:pPr>
      <w:r w:rsidRPr="0060190E">
        <w:rPr>
          <w:rFonts w:ascii="Times New Roman" w:eastAsia="Times New Roman" w:hAnsi="Times New Roman" w:cs="Times New Roman"/>
          <w:i/>
          <w:noProof/>
        </w:rPr>
        <w:t>Vartojimo metodas</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noProof/>
        </w:rPr>
        <w:t>Guttalax lašus gerkite vakare, kad ryte galėtumėte pasituštinti.</w:t>
      </w:r>
      <w:r w:rsidRPr="0060190E">
        <w:rPr>
          <w:rFonts w:ascii="Times New Roman" w:eastAsia="Times New Roman" w:hAnsi="Times New Roman" w:cs="Times New Roman"/>
        </w:rPr>
        <w:t xml:space="preserve"> Paprastai vaisto poveikis pasireiškia praėjus 6-12 valandų po pavartojimo.</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0"/>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Gydytojui nenustačius tikslios diagnozės, vidurių laisvinamuosius vaistus vartoti galima tik labai trumpai. Jei vidurių užkietėjimas trunka ilgai, prieš pradėdami vartoti šį vaistą būtinai kreipkitės į gydytoją, kuris nustatys vidurių užkietėjimo priežastis.</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b/>
        </w:rPr>
      </w:pPr>
    </w:p>
    <w:p w:rsidR="00533A7D" w:rsidRPr="0060190E" w:rsidRDefault="00533A7D" w:rsidP="00533A7D">
      <w:pPr>
        <w:tabs>
          <w:tab w:val="left" w:pos="0"/>
          <w:tab w:val="left" w:pos="567"/>
        </w:tabs>
        <w:spacing w:after="0" w:line="240" w:lineRule="auto"/>
        <w:rPr>
          <w:rFonts w:ascii="Times New Roman" w:eastAsia="Times New Roman" w:hAnsi="Times New Roman" w:cs="Times New Roman"/>
          <w:b/>
        </w:rPr>
      </w:pPr>
      <w:r w:rsidRPr="0060190E">
        <w:rPr>
          <w:rFonts w:ascii="Times New Roman" w:eastAsia="Times New Roman" w:hAnsi="Times New Roman" w:cs="Times New Roman"/>
          <w:b/>
        </w:rPr>
        <w:t>Ką daryti pavartojus per didelę Guttalax dozę</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Jei Guttalax lašų išgėrėte daugiau negu turėtumėte, pasakykite gydytojui arba vaistininkui.</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Išgėrus per didelę dozę, gali pasireikšti viduriavimas vandeningomis išmatomis, pilvo diegliai, skysčių, kalio bei kitų elektrolitų kiekio sumažėjimas.</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Pastebėta, kad įprastiniam vidurių užkietėjimui gydyti pavartojus daug didesnę už rekomenduojamą Guttalax dozę, atsiranda storosios žarnos gleivinės pažeidimo (gaubtinės žarnos gleivinės išemijos) atvejų.</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567"/>
        </w:tabs>
        <w:spacing w:after="0" w:line="240" w:lineRule="auto"/>
        <w:rPr>
          <w:rFonts w:ascii="Times New Roman" w:eastAsia="Times New Roman" w:hAnsi="Times New Roman" w:cs="Times New Roman"/>
          <w:lang w:eastAsia="lt-LT"/>
        </w:rPr>
      </w:pPr>
      <w:r w:rsidRPr="0060190E">
        <w:rPr>
          <w:rFonts w:ascii="Times New Roman" w:eastAsia="Times New Roman" w:hAnsi="Times New Roman" w:cs="Times New Roman"/>
          <w:lang w:eastAsia="lt-LT"/>
        </w:rPr>
        <w:t>Guttalax, kaip ir kitokių vidurių laisvinamųjų preparatų, lėtinio perdozavimo atveju gali pasireikšti nuolatinis viduriavimas, pilvo skausmas, mažas kalio kiekis kraujyje, antrinis hiperaldosteronizmas (padidėja hormono aldosterono, reguliuojančio natrio ir kalio koncentraciją kraujyje, gamyba), inkstuose gali atsirasti akmenų. Buvo inkstų kanalėlių pažeidimo (inkstų pažeidimo rūšis), metabolinės alkalozės (būklė, kai organizme atsiranda daugiau šarminių negu rūgštinių medžiagų) bei dėl hipokalemijos atsiradusio raumenų silpnumo atvejų, susijusių su nuolatiniu piktnaudžiavimu vidurių laisvinamaisiais preparatais.</w:t>
      </w:r>
    </w:p>
    <w:p w:rsidR="00533A7D" w:rsidRPr="0060190E" w:rsidRDefault="00533A7D" w:rsidP="00533A7D">
      <w:pPr>
        <w:spacing w:after="0" w:line="240" w:lineRule="auto"/>
        <w:rPr>
          <w:rFonts w:ascii="Times New Roman" w:eastAsia="Times New Roman" w:hAnsi="Times New Roman" w:cs="Times New Roman"/>
          <w:lang w:eastAsia="lt-LT"/>
        </w:rPr>
      </w:pPr>
    </w:p>
    <w:p w:rsidR="00533A7D" w:rsidRPr="0060190E" w:rsidRDefault="00533A7D" w:rsidP="00533A7D">
      <w:pPr>
        <w:tabs>
          <w:tab w:val="left" w:pos="0"/>
          <w:tab w:val="left" w:pos="567"/>
        </w:tabs>
        <w:spacing w:after="0" w:line="240" w:lineRule="auto"/>
        <w:rPr>
          <w:rFonts w:ascii="Times New Roman" w:eastAsia="Times New Roman" w:hAnsi="Times New Roman" w:cs="Times New Roman"/>
          <w:b/>
        </w:rPr>
      </w:pPr>
      <w:r w:rsidRPr="0060190E">
        <w:rPr>
          <w:rFonts w:ascii="Times New Roman" w:eastAsia="Times New Roman" w:hAnsi="Times New Roman" w:cs="Times New Roman"/>
          <w:b/>
        </w:rPr>
        <w:t>Pamiršus pavartoti Guttalax</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Jei įprastiniu laiku dozę išgerti pamiršote, gerkite ją tuoj pat, kai tik prisiminsite. Negalima vartoti dvigubos dozės norint kompensuoti praleistą dozę.</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p>
    <w:p w:rsidR="00533A7D" w:rsidRDefault="00533A7D" w:rsidP="00533A7D">
      <w:pPr>
        <w:tabs>
          <w:tab w:val="left" w:pos="0"/>
          <w:tab w:val="left" w:pos="567"/>
        </w:tabs>
        <w:spacing w:after="0" w:line="240" w:lineRule="auto"/>
        <w:rPr>
          <w:rFonts w:ascii="Times New Roman" w:eastAsia="Times New Roman" w:hAnsi="Times New Roman" w:cs="Times New Roman"/>
          <w:b/>
        </w:rPr>
      </w:pPr>
      <w:r w:rsidRPr="0060190E">
        <w:rPr>
          <w:rFonts w:ascii="Times New Roman" w:eastAsia="Times New Roman" w:hAnsi="Times New Roman" w:cs="Times New Roman"/>
          <w:b/>
        </w:rPr>
        <w:t>Nustojus vartoti Guttalax</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Guttalax reikia vartoti tik tuo atveju, jei būtina, o būklei pagerėjus vartojimą reikia nutraukti.</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Jeigu kiltų daugiau klausimų dėl šio vaisto vartojimo, kreipkitės į gydytoją arba vaistininką.</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numPr>
          <w:ilvl w:val="12"/>
          <w:numId w:val="0"/>
        </w:numPr>
        <w:tabs>
          <w:tab w:val="left" w:pos="567"/>
        </w:tabs>
        <w:spacing w:after="0" w:line="240" w:lineRule="auto"/>
        <w:ind w:left="567" w:hanging="567"/>
        <w:rPr>
          <w:rFonts w:ascii="Times New Roman" w:eastAsia="Times New Roman" w:hAnsi="Times New Roman" w:cs="Times New Roman"/>
          <w:b/>
          <w:noProof/>
        </w:rPr>
      </w:pPr>
      <w:r w:rsidRPr="0060190E">
        <w:rPr>
          <w:rFonts w:ascii="Times New Roman" w:eastAsia="Times New Roman" w:hAnsi="Times New Roman" w:cs="Times New Roman"/>
          <w:b/>
          <w:caps/>
          <w:noProof/>
        </w:rPr>
        <w:t>4.</w:t>
      </w:r>
      <w:r w:rsidRPr="0060190E">
        <w:rPr>
          <w:rFonts w:ascii="Times New Roman" w:eastAsia="Times New Roman" w:hAnsi="Times New Roman" w:cs="Times New Roman"/>
          <w:b/>
          <w:caps/>
          <w:noProof/>
        </w:rPr>
        <w:tab/>
      </w:r>
      <w:r w:rsidRPr="0060190E">
        <w:rPr>
          <w:rFonts w:ascii="Times New Roman" w:eastAsia="Times New Roman" w:hAnsi="Times New Roman" w:cs="Times New Roman"/>
          <w:b/>
          <w:noProof/>
        </w:rPr>
        <w:t>Galimas šalutinis poveikis</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Šis vaistas, kaip ir kiti, gali sukelti šalutinį poveikį, nors jis pasireiškia ne visiems žmonėms.</w:t>
      </w:r>
    </w:p>
    <w:p w:rsidR="00533A7D" w:rsidRPr="0060190E" w:rsidRDefault="00533A7D" w:rsidP="00533A7D">
      <w:pPr>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Toliau nurodyti šalutinio poveikio reiškiniai.</w:t>
      </w:r>
    </w:p>
    <w:p w:rsidR="00533A7D" w:rsidRPr="0060190E" w:rsidRDefault="00533A7D" w:rsidP="00533A7D">
      <w:pPr>
        <w:spacing w:after="0" w:line="240" w:lineRule="auto"/>
        <w:rPr>
          <w:rFonts w:ascii="Times New Roman" w:eastAsia="Times New Roman" w:hAnsi="Times New Roman" w:cs="Times New Roman"/>
        </w:rPr>
      </w:pPr>
    </w:p>
    <w:p w:rsidR="00533A7D" w:rsidRPr="0060190E" w:rsidRDefault="00533A7D" w:rsidP="00533A7D">
      <w:pPr>
        <w:tabs>
          <w:tab w:val="left" w:pos="567"/>
        </w:tabs>
        <w:spacing w:after="0" w:line="240" w:lineRule="auto"/>
        <w:rPr>
          <w:rFonts w:ascii="Times New Roman" w:eastAsia="Times New Roman" w:hAnsi="Times New Roman" w:cs="Times New Roman"/>
          <w:i/>
        </w:rPr>
      </w:pPr>
      <w:r w:rsidRPr="0060190E">
        <w:rPr>
          <w:rFonts w:ascii="Times New Roman" w:eastAsia="Times New Roman" w:hAnsi="Times New Roman" w:cs="Times New Roman"/>
          <w:i/>
        </w:rPr>
        <w:t>Labai dažni (pasireiškia daugiau negu 1 iš 10 žmonių)</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i/>
        </w:rPr>
      </w:pPr>
      <w:r w:rsidRPr="0060190E">
        <w:rPr>
          <w:rFonts w:ascii="Times New Roman" w:eastAsia="Times New Roman" w:hAnsi="Times New Roman" w:cs="Times New Roman"/>
        </w:rPr>
        <w:t>●</w:t>
      </w:r>
      <w:r w:rsidRPr="0060190E">
        <w:rPr>
          <w:rFonts w:ascii="Times New Roman" w:eastAsia="Times New Roman" w:hAnsi="Times New Roman" w:cs="Times New Roman"/>
        </w:rPr>
        <w:tab/>
        <w:t>viduriavimas</w:t>
      </w:r>
      <w:r w:rsidRPr="0060190E">
        <w:rPr>
          <w:rFonts w:ascii="Times New Roman" w:eastAsia="Times New Roman" w:hAnsi="Times New Roman" w:cs="Times New Roman"/>
          <w:i/>
        </w:rPr>
        <w:t>.</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i/>
        </w:rPr>
        <w:t>Dažni (pasireiškia ne daugiau, kaip 1 iš 10</w:t>
      </w:r>
      <w:r w:rsidRPr="0060190E">
        <w:rPr>
          <w:rFonts w:ascii="Times New Roman" w:eastAsia="Times New Roman" w:hAnsi="Times New Roman" w:cs="Times New Roman"/>
          <w:i/>
        </w:rPr>
        <w:tab/>
        <w:t>žmonių)</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w:t>
      </w:r>
      <w:r w:rsidRPr="0060190E">
        <w:rPr>
          <w:rFonts w:ascii="Times New Roman" w:eastAsia="Times New Roman" w:hAnsi="Times New Roman" w:cs="Times New Roman"/>
        </w:rPr>
        <w:tab/>
        <w:t>pilvo diegliai,</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w:t>
      </w:r>
      <w:r w:rsidRPr="0060190E">
        <w:rPr>
          <w:rFonts w:ascii="Times New Roman" w:eastAsia="Times New Roman" w:hAnsi="Times New Roman" w:cs="Times New Roman"/>
        </w:rPr>
        <w:tab/>
        <w:t>pilvo skausmas,</w:t>
      </w:r>
    </w:p>
    <w:p w:rsidR="00533A7D" w:rsidRPr="0060190E" w:rsidRDefault="00533A7D" w:rsidP="00533A7D">
      <w:pPr>
        <w:tabs>
          <w:tab w:val="left" w:pos="0"/>
          <w:tab w:val="left" w:pos="567"/>
        </w:tabs>
        <w:spacing w:after="0" w:line="240" w:lineRule="auto"/>
        <w:rPr>
          <w:rFonts w:ascii="Times New Roman" w:eastAsia="Times New Roman" w:hAnsi="Times New Roman" w:cs="Times New Roman"/>
          <w:highlight w:val="yellow"/>
        </w:rPr>
      </w:pPr>
      <w:r w:rsidRPr="0060190E">
        <w:rPr>
          <w:rFonts w:ascii="Times New Roman" w:eastAsia="Times New Roman" w:hAnsi="Times New Roman" w:cs="Times New Roman"/>
        </w:rPr>
        <w:t>●</w:t>
      </w:r>
      <w:r w:rsidRPr="0060190E">
        <w:rPr>
          <w:rFonts w:ascii="Times New Roman" w:eastAsia="Times New Roman" w:hAnsi="Times New Roman" w:cs="Times New Roman"/>
        </w:rPr>
        <w:tab/>
        <w:t>nemalonus pojūtis pilve.</w:t>
      </w:r>
    </w:p>
    <w:p w:rsidR="00533A7D" w:rsidRPr="0060190E" w:rsidRDefault="00533A7D" w:rsidP="00533A7D">
      <w:pPr>
        <w:tabs>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567"/>
        </w:tabs>
        <w:spacing w:after="0" w:line="240" w:lineRule="auto"/>
        <w:rPr>
          <w:rFonts w:ascii="Times New Roman" w:eastAsia="Times New Roman" w:hAnsi="Times New Roman" w:cs="Times New Roman"/>
          <w:i/>
        </w:rPr>
      </w:pPr>
      <w:r w:rsidRPr="0060190E">
        <w:rPr>
          <w:rFonts w:ascii="Times New Roman" w:eastAsia="Times New Roman" w:hAnsi="Times New Roman" w:cs="Times New Roman"/>
          <w:i/>
        </w:rPr>
        <w:t>Nedažni (pasireiškia ne daugiau, kaip 1 iš 100 žmonių)</w:t>
      </w:r>
    </w:p>
    <w:p w:rsidR="00533A7D" w:rsidRPr="0060190E" w:rsidRDefault="00533A7D" w:rsidP="00533A7D">
      <w:pPr>
        <w:tabs>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w:t>
      </w:r>
      <w:r w:rsidRPr="0060190E">
        <w:rPr>
          <w:rFonts w:ascii="Times New Roman" w:eastAsia="Times New Roman" w:hAnsi="Times New Roman" w:cs="Times New Roman"/>
        </w:rPr>
        <w:tab/>
        <w:t>vėmimas,</w:t>
      </w:r>
    </w:p>
    <w:p w:rsidR="00533A7D" w:rsidRPr="0060190E" w:rsidRDefault="00533A7D" w:rsidP="00533A7D">
      <w:pPr>
        <w:tabs>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w:t>
      </w:r>
      <w:r w:rsidRPr="0060190E">
        <w:rPr>
          <w:rFonts w:ascii="Times New Roman" w:eastAsia="Times New Roman" w:hAnsi="Times New Roman" w:cs="Times New Roman"/>
        </w:rPr>
        <w:tab/>
        <w:t xml:space="preserve"> pykinimas,</w:t>
      </w:r>
    </w:p>
    <w:p w:rsidR="00533A7D" w:rsidRPr="0060190E" w:rsidRDefault="00533A7D" w:rsidP="00533A7D">
      <w:pPr>
        <w:tabs>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w:t>
      </w:r>
      <w:r w:rsidRPr="0060190E">
        <w:rPr>
          <w:rFonts w:ascii="Times New Roman" w:eastAsia="Times New Roman" w:hAnsi="Times New Roman" w:cs="Times New Roman"/>
        </w:rPr>
        <w:tab/>
        <w:t>galvos svaigimas.</w:t>
      </w:r>
    </w:p>
    <w:p w:rsidR="00533A7D" w:rsidRPr="0060190E" w:rsidRDefault="00533A7D" w:rsidP="00533A7D">
      <w:pPr>
        <w:tabs>
          <w:tab w:val="left" w:pos="567"/>
        </w:tabs>
        <w:spacing w:after="0" w:line="240" w:lineRule="auto"/>
        <w:rPr>
          <w:rFonts w:ascii="Times New Roman" w:eastAsia="Times New Roman" w:hAnsi="Times New Roman" w:cs="Times New Roman"/>
        </w:rPr>
      </w:pPr>
    </w:p>
    <w:p w:rsidR="00533A7D" w:rsidRPr="0060190E" w:rsidRDefault="00533A7D" w:rsidP="00533A7D">
      <w:pPr>
        <w:spacing w:after="0" w:line="240" w:lineRule="auto"/>
        <w:rPr>
          <w:rFonts w:ascii="Times New Roman" w:eastAsia="Times New Roman" w:hAnsi="Times New Roman" w:cs="Times New Roman"/>
          <w:i/>
        </w:rPr>
      </w:pPr>
      <w:r w:rsidRPr="0060190E">
        <w:rPr>
          <w:rFonts w:ascii="Times New Roman" w:eastAsia="Times New Roman" w:hAnsi="Times New Roman" w:cs="Times New Roman"/>
          <w:i/>
        </w:rPr>
        <w:t>Dažnis nežinomas (negali būti įvertintas pagal turimus duomenis)</w:t>
      </w:r>
    </w:p>
    <w:p w:rsidR="00533A7D" w:rsidRPr="0060190E" w:rsidRDefault="00533A7D" w:rsidP="00533A7D">
      <w:pPr>
        <w:tabs>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w:t>
      </w:r>
      <w:r w:rsidRPr="0060190E">
        <w:rPr>
          <w:rFonts w:ascii="Times New Roman" w:eastAsia="Times New Roman" w:hAnsi="Times New Roman" w:cs="Times New Roman"/>
        </w:rPr>
        <w:tab/>
        <w:t>odos reakcijos:</w:t>
      </w:r>
    </w:p>
    <w:p w:rsidR="00533A7D" w:rsidRPr="0060190E" w:rsidRDefault="00533A7D" w:rsidP="00533A7D">
      <w:pPr>
        <w:tabs>
          <w:tab w:val="left" w:pos="567"/>
        </w:tabs>
        <w:spacing w:after="0" w:line="240" w:lineRule="auto"/>
        <w:ind w:left="851" w:hanging="851"/>
        <w:rPr>
          <w:rFonts w:ascii="Times New Roman" w:eastAsia="Times New Roman" w:hAnsi="Times New Roman" w:cs="Times New Roman"/>
        </w:rPr>
      </w:pPr>
      <w:r w:rsidRPr="0060190E">
        <w:rPr>
          <w:rFonts w:ascii="Times New Roman" w:eastAsia="Times New Roman" w:hAnsi="Times New Roman" w:cs="Times New Roman"/>
        </w:rPr>
        <w:tab/>
        <w:t>-</w:t>
      </w:r>
      <w:r w:rsidRPr="0060190E">
        <w:rPr>
          <w:rFonts w:ascii="Times New Roman" w:eastAsia="Times New Roman" w:hAnsi="Times New Roman" w:cs="Times New Roman"/>
        </w:rPr>
        <w:tab/>
        <w:t>greitas odos arba gleivinių paburkimas, sukeliantis kvėpavimo pasunkėjimą (angioedemą);</w:t>
      </w:r>
    </w:p>
    <w:p w:rsidR="00533A7D" w:rsidRPr="0060190E" w:rsidRDefault="00533A7D" w:rsidP="00533A7D">
      <w:pPr>
        <w:tabs>
          <w:tab w:val="left" w:pos="567"/>
          <w:tab w:val="left" w:pos="851"/>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ab/>
        <w:t>-</w:t>
      </w:r>
      <w:r w:rsidRPr="0060190E">
        <w:rPr>
          <w:rFonts w:ascii="Times New Roman" w:eastAsia="Times New Roman" w:hAnsi="Times New Roman" w:cs="Times New Roman"/>
        </w:rPr>
        <w:tab/>
        <w:t>vaistų sukeltas odos išbėrimas arba dėmėtumas;</w:t>
      </w:r>
    </w:p>
    <w:p w:rsidR="00533A7D" w:rsidRPr="0060190E" w:rsidRDefault="00533A7D" w:rsidP="00533A7D">
      <w:pPr>
        <w:tabs>
          <w:tab w:val="left" w:pos="567"/>
          <w:tab w:val="left" w:pos="851"/>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ab/>
        <w:t>-</w:t>
      </w:r>
      <w:r w:rsidRPr="0060190E">
        <w:rPr>
          <w:rFonts w:ascii="Times New Roman" w:eastAsia="Times New Roman" w:hAnsi="Times New Roman" w:cs="Times New Roman"/>
        </w:rPr>
        <w:tab/>
        <w:t>išbėrimas;</w:t>
      </w:r>
    </w:p>
    <w:p w:rsidR="00533A7D" w:rsidRPr="0060190E" w:rsidRDefault="00533A7D" w:rsidP="00533A7D">
      <w:pPr>
        <w:tabs>
          <w:tab w:val="left" w:pos="567"/>
          <w:tab w:val="left" w:pos="851"/>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ab/>
        <w:t>-</w:t>
      </w:r>
      <w:r w:rsidRPr="0060190E">
        <w:rPr>
          <w:rFonts w:ascii="Times New Roman" w:eastAsia="Times New Roman" w:hAnsi="Times New Roman" w:cs="Times New Roman"/>
        </w:rPr>
        <w:tab/>
        <w:t>niežulys.</w:t>
      </w:r>
    </w:p>
    <w:p w:rsidR="00533A7D" w:rsidRPr="0060190E" w:rsidRDefault="00533A7D" w:rsidP="00533A7D">
      <w:pPr>
        <w:tabs>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w:t>
      </w:r>
      <w:r w:rsidRPr="0060190E">
        <w:rPr>
          <w:rFonts w:ascii="Times New Roman" w:eastAsia="Times New Roman" w:hAnsi="Times New Roman" w:cs="Times New Roman"/>
        </w:rPr>
        <w:tab/>
        <w:t>apalpimas.</w:t>
      </w:r>
    </w:p>
    <w:p w:rsidR="00533A7D" w:rsidRDefault="00533A7D" w:rsidP="00533A7D">
      <w:pPr>
        <w:tabs>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Po Guttalax pavartojimo pasireiškiantis galvos svaigimas ir apalpimas siejamas su obstipacija (jėgų įtempimu tuštinimosi metu, pilvo skausmu).</w:t>
      </w:r>
    </w:p>
    <w:p w:rsidR="00533A7D" w:rsidRPr="0060190E" w:rsidRDefault="00533A7D" w:rsidP="00533A7D">
      <w:pPr>
        <w:tabs>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567"/>
        </w:tabs>
        <w:spacing w:after="0" w:line="240" w:lineRule="auto"/>
        <w:rPr>
          <w:rFonts w:ascii="Times New Roman" w:eastAsia="Times New Roman" w:hAnsi="Times New Roman" w:cs="Times New Roman"/>
          <w:b/>
          <w:lang w:eastAsia="x-none"/>
        </w:rPr>
      </w:pPr>
      <w:r w:rsidRPr="0060190E">
        <w:rPr>
          <w:rFonts w:ascii="Times New Roman" w:eastAsia="Times New Roman" w:hAnsi="Times New Roman" w:cs="Times New Roman"/>
          <w:b/>
          <w:lang w:eastAsia="x-none"/>
        </w:rPr>
        <w:t>Pranešimas apie šalutinį poveikį</w:t>
      </w:r>
    </w:p>
    <w:p w:rsidR="00533A7D" w:rsidRPr="0060190E" w:rsidRDefault="00533A7D" w:rsidP="00533A7D">
      <w:pPr>
        <w:tabs>
          <w:tab w:val="left" w:pos="567"/>
        </w:tabs>
        <w:spacing w:after="0" w:line="240" w:lineRule="auto"/>
        <w:rPr>
          <w:rFonts w:ascii="Times New Roman" w:eastAsia="Times New Roman" w:hAnsi="Times New Roman" w:cs="Times New Roman"/>
          <w:lang w:eastAsia="x-none"/>
        </w:rPr>
      </w:pPr>
      <w:r w:rsidRPr="0060190E">
        <w:rPr>
          <w:rFonts w:ascii="Times New Roman" w:eastAsia="Times New Roman" w:hAnsi="Times New Roman" w:cs="Times New Roman"/>
          <w:lang w:eastAsia="x-none"/>
        </w:rPr>
        <w:t>Jeigu pasireiškė šalutinis poveikis, įskaitant šiame lapelyje nenurodytą, pasakykite gydytojui arba vaistininkui, arba slaugytojui. Apie šalutinį poveikį taip pat galite pranešti Valstybinei vaistų kontrolės tarnybai prie Lietuvos Respublikos sveikatos apsaugos ministerijos nemokamu t</w:t>
      </w:r>
      <w:r w:rsidRPr="0060190E">
        <w:rPr>
          <w:rFonts w:ascii="Times New Roman" w:eastAsia="Times New Roman" w:hAnsi="Times New Roman" w:cs="Times New Roman"/>
          <w:lang w:eastAsia="zh-CN"/>
        </w:rPr>
        <w:t>elefonu 8 800 73568</w:t>
      </w:r>
      <w:r w:rsidRPr="0060190E">
        <w:rPr>
          <w:rFonts w:ascii="Times New Roman" w:eastAsia="Times New Roman" w:hAnsi="Times New Roman" w:cs="Times New Roman"/>
          <w:lang w:eastAsia="x-none"/>
        </w:rPr>
        <w:t xml:space="preserve"> arba užpildyti interneto svetainėje </w:t>
      </w:r>
      <w:hyperlink r:id="rId5" w:history="1">
        <w:r w:rsidRPr="0060190E">
          <w:rPr>
            <w:rFonts w:ascii="Times New Roman" w:eastAsia="SimSun" w:hAnsi="Times New Roman" w:cs="Times New Roman"/>
            <w:color w:val="0000FF"/>
            <w:u w:val="single"/>
            <w:lang w:eastAsia="x-none"/>
          </w:rPr>
          <w:t>www.vvkt.lt</w:t>
        </w:r>
      </w:hyperlink>
      <w:r w:rsidRPr="0060190E">
        <w:rPr>
          <w:rFonts w:ascii="Times New Roman" w:eastAsia="Times New Roman" w:hAnsi="Times New Roman" w:cs="Times New Roman"/>
          <w:lang w:eastAsia="x-none"/>
        </w:rPr>
        <w:t xml:space="preserve"> esančią formą ir pateikti ją Valstybinei vaistų kontrolės tarnybai prie Lietuvos Respublikos sveikatos apsaugos ministerijos vienu iš šių būdų: raštu (adresu Žirmūnų g. 139A, LT-09120 Vilnius), </w:t>
      </w:r>
      <w:r w:rsidRPr="0060190E">
        <w:rPr>
          <w:rFonts w:ascii="Times New Roman" w:eastAsia="Times New Roman" w:hAnsi="Times New Roman" w:cs="Times New Roman"/>
          <w:lang w:eastAsia="zh-CN"/>
        </w:rPr>
        <w:t xml:space="preserve">nemokamu </w:t>
      </w:r>
      <w:r w:rsidRPr="0060190E">
        <w:rPr>
          <w:rFonts w:ascii="Times New Roman" w:eastAsia="Times New Roman" w:hAnsi="Times New Roman" w:cs="Times New Roman"/>
          <w:lang w:eastAsia="x-none"/>
        </w:rPr>
        <w:t>fakso numeriu 8 800 20131</w:t>
      </w:r>
      <w:r w:rsidRPr="0060190E">
        <w:rPr>
          <w:rFonts w:ascii="Times New Roman" w:eastAsia="Times New Roman" w:hAnsi="Times New Roman" w:cs="Times New Roman"/>
          <w:lang w:eastAsia="zh-CN"/>
        </w:rPr>
        <w:t xml:space="preserve">, </w:t>
      </w:r>
      <w:r w:rsidRPr="0060190E">
        <w:rPr>
          <w:rFonts w:ascii="Times New Roman" w:eastAsia="Times New Roman" w:hAnsi="Times New Roman" w:cs="Times New Roman"/>
          <w:lang w:eastAsia="x-none"/>
        </w:rPr>
        <w:t xml:space="preserve">el. paštu </w:t>
      </w:r>
      <w:hyperlink r:id="rId6" w:history="1">
        <w:r w:rsidRPr="0060190E">
          <w:rPr>
            <w:rFonts w:ascii="Times New Roman" w:eastAsia="SimSun" w:hAnsi="Times New Roman" w:cs="Times New Roman"/>
            <w:color w:val="0000FF"/>
            <w:u w:val="single"/>
            <w:lang w:eastAsia="x-none"/>
          </w:rPr>
          <w:t>NepageidaujamaR@vvkt.lt</w:t>
        </w:r>
      </w:hyperlink>
      <w:r w:rsidRPr="0060190E">
        <w:rPr>
          <w:rFonts w:ascii="Times New Roman" w:eastAsia="Times New Roman" w:hAnsi="Times New Roman" w:cs="Times New Roman"/>
          <w:lang w:eastAsia="x-none"/>
        </w:rPr>
        <w:t xml:space="preserve">, taip pat per Valstybinės vaistų kontrolės tarnybos prie Lietuvos Respublikos sveikatos apsaugos ministerijos interneto svetainę (adresu </w:t>
      </w:r>
      <w:hyperlink r:id="rId7" w:history="1">
        <w:r w:rsidRPr="0060190E">
          <w:rPr>
            <w:rFonts w:ascii="Times New Roman" w:eastAsia="SimSun" w:hAnsi="Times New Roman" w:cs="Times New Roman"/>
            <w:color w:val="0000FF"/>
            <w:u w:val="single"/>
            <w:lang w:eastAsia="x-none"/>
          </w:rPr>
          <w:t>http://www.vvkt.lt</w:t>
        </w:r>
      </w:hyperlink>
      <w:r w:rsidRPr="0060190E">
        <w:rPr>
          <w:rFonts w:ascii="Times New Roman" w:eastAsia="Times New Roman" w:hAnsi="Times New Roman" w:cs="Times New Roman"/>
          <w:lang w:eastAsia="x-none"/>
        </w:rPr>
        <w:t>). Pranešdami apie nepageidaujamą poveikį galite mums padėti gauti daugiau informacijos apie šio vaisto saugumą.</w:t>
      </w:r>
    </w:p>
    <w:p w:rsidR="00533A7D" w:rsidRPr="0060190E" w:rsidRDefault="00533A7D" w:rsidP="00533A7D">
      <w:pPr>
        <w:tabs>
          <w:tab w:val="left" w:pos="0"/>
        </w:tabs>
        <w:spacing w:after="0" w:line="240" w:lineRule="auto"/>
        <w:rPr>
          <w:rFonts w:ascii="Times New Roman" w:eastAsia="Times New Roman" w:hAnsi="Times New Roman" w:cs="Times New Roman"/>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b/>
        </w:rPr>
      </w:pPr>
      <w:r w:rsidRPr="0060190E">
        <w:rPr>
          <w:rFonts w:ascii="Times New Roman" w:eastAsia="Times New Roman" w:hAnsi="Times New Roman" w:cs="Times New Roman"/>
          <w:b/>
          <w:caps/>
          <w:noProof/>
        </w:rPr>
        <w:t>5.</w:t>
      </w:r>
      <w:r w:rsidRPr="0060190E">
        <w:rPr>
          <w:rFonts w:ascii="Times New Roman" w:eastAsia="Times New Roman" w:hAnsi="Times New Roman" w:cs="Times New Roman"/>
          <w:b/>
          <w:caps/>
          <w:noProof/>
        </w:rPr>
        <w:tab/>
      </w:r>
      <w:r w:rsidRPr="0060190E">
        <w:rPr>
          <w:rFonts w:ascii="Times New Roman" w:eastAsia="Times New Roman" w:hAnsi="Times New Roman" w:cs="Times New Roman"/>
          <w:b/>
          <w:noProof/>
        </w:rPr>
        <w:t>Kaip laikyti Guttalax</w:t>
      </w:r>
    </w:p>
    <w:p w:rsidR="00533A7D" w:rsidRPr="0060190E" w:rsidRDefault="00533A7D" w:rsidP="00533A7D">
      <w:pPr>
        <w:numPr>
          <w:ilvl w:val="12"/>
          <w:numId w:val="0"/>
        </w:numPr>
        <w:tabs>
          <w:tab w:val="left" w:pos="567"/>
        </w:tabs>
        <w:spacing w:after="0" w:line="240" w:lineRule="auto"/>
        <w:ind w:left="567" w:hanging="567"/>
        <w:rPr>
          <w:rFonts w:ascii="Times New Roman" w:eastAsia="Times New Roman" w:hAnsi="Times New Roman" w:cs="Times New Roman"/>
          <w:b/>
          <w:caps/>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Šį vaistą laikykite vaikams nepastebimoje ir nepasiekiamoje vietoje.</w:t>
      </w:r>
    </w:p>
    <w:p w:rsidR="00533A7D" w:rsidRPr="0060190E" w:rsidRDefault="00533A7D" w:rsidP="00533A7D">
      <w:pPr>
        <w:tabs>
          <w:tab w:val="left" w:pos="567"/>
        </w:tabs>
        <w:spacing w:after="0" w:line="240" w:lineRule="auto"/>
        <w:rPr>
          <w:rFonts w:ascii="Times New Roman" w:eastAsia="Times New Roman" w:hAnsi="Times New Roman" w:cs="Times New Roman"/>
          <w:noProof/>
        </w:rPr>
      </w:pPr>
    </w:p>
    <w:p w:rsidR="00533A7D" w:rsidRDefault="00533A7D" w:rsidP="00533A7D">
      <w:pPr>
        <w:tabs>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 xml:space="preserve">Laikyti ne aukštesnėje kaip 30 </w:t>
      </w:r>
      <w:r w:rsidRPr="0060190E">
        <w:rPr>
          <w:rFonts w:ascii="Times New Roman" w:eastAsia="Times New Roman" w:hAnsi="Times New Roman" w:cs="Times New Roman"/>
          <w:noProof/>
        </w:rPr>
        <w:sym w:font="Symbol" w:char="00B0"/>
      </w:r>
      <w:r w:rsidRPr="0060190E">
        <w:rPr>
          <w:rFonts w:ascii="Times New Roman" w:eastAsia="Times New Roman" w:hAnsi="Times New Roman" w:cs="Times New Roman"/>
          <w:noProof/>
        </w:rPr>
        <w:t>C temperatūroje.</w:t>
      </w:r>
    </w:p>
    <w:p w:rsidR="00533A7D" w:rsidRPr="0060190E" w:rsidRDefault="00533A7D" w:rsidP="00533A7D">
      <w:pPr>
        <w:tabs>
          <w:tab w:val="left" w:pos="567"/>
        </w:tabs>
        <w:spacing w:after="0" w:line="240" w:lineRule="auto"/>
        <w:rPr>
          <w:rFonts w:ascii="Times New Roman" w:eastAsia="Times New Roman" w:hAnsi="Times New Roman" w:cs="Times New Roman"/>
          <w:noProof/>
        </w:rPr>
      </w:pPr>
    </w:p>
    <w:p w:rsidR="00533A7D" w:rsidRPr="0060190E" w:rsidRDefault="00533A7D" w:rsidP="00533A7D">
      <w:pPr>
        <w:tabs>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rPr>
        <w:t>Buteliuką pirmą kartą atidarius, geriamieji lašai (tirpalas) tinkamas vartoti 12 mėn.</w:t>
      </w:r>
    </w:p>
    <w:p w:rsidR="00533A7D" w:rsidRPr="0060190E" w:rsidRDefault="00533A7D" w:rsidP="00533A7D">
      <w:pPr>
        <w:tabs>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Ant buteliuko etiketės ar dėžutės po „EXP“ nurodytam tinkamumo laikui pasibaigus, šio vaisto vartoti negalima. Vaistas tinkamas vartoti iki paskutinės nurodyto mėnesio dienos.</w:t>
      </w:r>
    </w:p>
    <w:p w:rsidR="00533A7D" w:rsidRPr="0060190E" w:rsidRDefault="00533A7D" w:rsidP="00533A7D">
      <w:pPr>
        <w:tabs>
          <w:tab w:val="left" w:pos="567"/>
        </w:tabs>
        <w:spacing w:after="0" w:line="240" w:lineRule="auto"/>
        <w:rPr>
          <w:rFonts w:ascii="Times New Roman" w:eastAsia="Times New Roman" w:hAnsi="Times New Roman" w:cs="Times New Roman"/>
          <w:noProof/>
        </w:rPr>
      </w:pPr>
    </w:p>
    <w:p w:rsidR="00533A7D" w:rsidRPr="0060190E" w:rsidRDefault="00533A7D" w:rsidP="00533A7D">
      <w:pPr>
        <w:tabs>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Vaistų negalima išmesti į kanalizaciją arba su buitinėmis atliekomis. Kaip išmesti nereikalingus vaistus, klauskite vaistininko. Šios priemonės padės apsaugoti aplinką.</w:t>
      </w:r>
    </w:p>
    <w:p w:rsidR="00533A7D" w:rsidRPr="0060190E" w:rsidRDefault="00533A7D" w:rsidP="00533A7D">
      <w:pPr>
        <w:tabs>
          <w:tab w:val="left" w:pos="567"/>
        </w:tabs>
        <w:spacing w:after="0" w:line="240" w:lineRule="auto"/>
        <w:rPr>
          <w:rFonts w:ascii="Times New Roman" w:eastAsia="Times New Roman" w:hAnsi="Times New Roman" w:cs="Times New Roman"/>
          <w:noProof/>
        </w:rPr>
      </w:pPr>
    </w:p>
    <w:p w:rsidR="00533A7D" w:rsidRPr="0060190E" w:rsidRDefault="00533A7D" w:rsidP="00533A7D">
      <w:pPr>
        <w:tabs>
          <w:tab w:val="left" w:pos="567"/>
        </w:tabs>
        <w:spacing w:after="0" w:line="240" w:lineRule="auto"/>
        <w:rPr>
          <w:rFonts w:ascii="Times New Roman" w:eastAsia="Times New Roman" w:hAnsi="Times New Roman" w:cs="Times New Roman"/>
          <w:noProof/>
        </w:rPr>
      </w:pPr>
    </w:p>
    <w:p w:rsidR="00533A7D" w:rsidRPr="0060190E" w:rsidRDefault="00533A7D" w:rsidP="00533A7D">
      <w:pPr>
        <w:keepNext/>
        <w:keepLines/>
        <w:numPr>
          <w:ilvl w:val="12"/>
          <w:numId w:val="0"/>
        </w:numPr>
        <w:tabs>
          <w:tab w:val="left" w:pos="567"/>
        </w:tabs>
        <w:spacing w:after="0" w:line="240" w:lineRule="auto"/>
        <w:rPr>
          <w:rFonts w:ascii="Times New Roman" w:eastAsia="Times New Roman" w:hAnsi="Times New Roman" w:cs="Times New Roman"/>
          <w:b/>
          <w:noProof/>
        </w:rPr>
      </w:pPr>
      <w:r w:rsidRPr="0060190E">
        <w:rPr>
          <w:rFonts w:ascii="Times New Roman" w:eastAsia="Times New Roman" w:hAnsi="Times New Roman" w:cs="Times New Roman"/>
          <w:b/>
          <w:noProof/>
        </w:rPr>
        <w:t>6.</w:t>
      </w:r>
      <w:r w:rsidRPr="0060190E">
        <w:rPr>
          <w:rFonts w:ascii="Times New Roman" w:eastAsia="Times New Roman" w:hAnsi="Times New Roman" w:cs="Times New Roman"/>
          <w:b/>
          <w:noProof/>
        </w:rPr>
        <w:tab/>
        <w:t>Pakuotės turinys ir kita informacija</w:t>
      </w:r>
    </w:p>
    <w:p w:rsidR="00533A7D" w:rsidRPr="0060190E" w:rsidRDefault="00533A7D" w:rsidP="00533A7D">
      <w:pPr>
        <w:keepNext/>
        <w:keepLines/>
        <w:tabs>
          <w:tab w:val="left" w:pos="567"/>
        </w:tabs>
        <w:spacing w:after="0" w:line="240" w:lineRule="auto"/>
        <w:rPr>
          <w:rFonts w:ascii="Times New Roman" w:eastAsia="Times New Roman" w:hAnsi="Times New Roman" w:cs="Times New Roman"/>
          <w:noProof/>
        </w:rPr>
      </w:pPr>
    </w:p>
    <w:p w:rsidR="00533A7D" w:rsidRPr="0060190E" w:rsidRDefault="00533A7D" w:rsidP="00533A7D">
      <w:pPr>
        <w:keepNext/>
        <w:keepLines/>
        <w:tabs>
          <w:tab w:val="left" w:pos="567"/>
        </w:tabs>
        <w:spacing w:after="0" w:line="240" w:lineRule="auto"/>
        <w:rPr>
          <w:rFonts w:ascii="Arial" w:eastAsia="Times New Roman" w:hAnsi="Arial" w:cs="Times New Roman"/>
          <w:noProof/>
          <w:lang w:eastAsia="lt-LT"/>
        </w:rPr>
      </w:pPr>
      <w:r w:rsidRPr="0060190E">
        <w:rPr>
          <w:rFonts w:ascii="Times New Roman" w:eastAsia="Times New Roman" w:hAnsi="Times New Roman" w:cs="Times New Roman"/>
          <w:b/>
          <w:noProof/>
          <w:lang w:eastAsia="lt-LT"/>
        </w:rPr>
        <w:t>Guttalax sudėtis</w:t>
      </w:r>
    </w:p>
    <w:p w:rsidR="00533A7D" w:rsidRPr="0060190E" w:rsidRDefault="00533A7D" w:rsidP="00533A7D">
      <w:pPr>
        <w:keepNext/>
        <w:keepLines/>
        <w:tabs>
          <w:tab w:val="left" w:pos="0"/>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w:t>
      </w:r>
      <w:r w:rsidRPr="0060190E">
        <w:rPr>
          <w:rFonts w:ascii="Times New Roman" w:eastAsia="Times New Roman" w:hAnsi="Times New Roman" w:cs="Times New Roman"/>
          <w:noProof/>
        </w:rPr>
        <w:tab/>
        <w:t>Veiklioji medžiaga yra natrio pikosulfatas. 1 ml tirpalo (15 lašų) yra 7,5 mg natrio pikosulfato.</w:t>
      </w:r>
    </w:p>
    <w:p w:rsidR="00533A7D" w:rsidRPr="0060190E" w:rsidRDefault="00533A7D" w:rsidP="00533A7D">
      <w:pPr>
        <w:keepNext/>
        <w:keepLines/>
        <w:tabs>
          <w:tab w:val="left" w:pos="0"/>
          <w:tab w:val="left" w:pos="567"/>
        </w:tabs>
        <w:spacing w:after="0" w:line="240" w:lineRule="auto"/>
        <w:ind w:left="567" w:hanging="567"/>
        <w:rPr>
          <w:rFonts w:ascii="Times New Roman" w:eastAsia="Times New Roman" w:hAnsi="Times New Roman" w:cs="Times New Roman"/>
        </w:rPr>
      </w:pPr>
      <w:r w:rsidRPr="0060190E">
        <w:rPr>
          <w:rFonts w:ascii="Times New Roman" w:eastAsia="Times New Roman" w:hAnsi="Times New Roman" w:cs="Times New Roman"/>
          <w:noProof/>
        </w:rPr>
        <w:t>-</w:t>
      </w:r>
      <w:r w:rsidRPr="0060190E">
        <w:rPr>
          <w:rFonts w:ascii="Times New Roman" w:eastAsia="Times New Roman" w:hAnsi="Times New Roman" w:cs="Times New Roman"/>
          <w:noProof/>
        </w:rPr>
        <w:tab/>
        <w:t xml:space="preserve">Pagalbinės medžiagos yra natrio benzoatas (E211), skystasis sorbitolis (nesikristalizuojantis), natrio citratas, </w:t>
      </w:r>
      <w:r w:rsidRPr="0060190E">
        <w:rPr>
          <w:rFonts w:ascii="Times New Roman" w:eastAsia="Times New Roman" w:hAnsi="Times New Roman" w:cs="Times New Roman"/>
        </w:rPr>
        <w:t>citrinų rūgštis monohidratas, išgrynintas vanduo.</w:t>
      </w:r>
    </w:p>
    <w:p w:rsidR="00533A7D" w:rsidRPr="0060190E" w:rsidRDefault="00533A7D" w:rsidP="00533A7D">
      <w:pPr>
        <w:tabs>
          <w:tab w:val="left" w:pos="0"/>
          <w:tab w:val="left" w:pos="567"/>
        </w:tabs>
        <w:spacing w:after="0" w:line="240" w:lineRule="auto"/>
        <w:jc w:val="both"/>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jc w:val="both"/>
        <w:rPr>
          <w:rFonts w:ascii="Arial" w:eastAsia="Times New Roman" w:hAnsi="Arial" w:cs="Times New Roman"/>
          <w:lang w:eastAsia="lt-LT"/>
        </w:rPr>
      </w:pPr>
      <w:r w:rsidRPr="0060190E">
        <w:rPr>
          <w:rFonts w:ascii="Times New Roman" w:eastAsia="Times New Roman" w:hAnsi="Times New Roman" w:cs="Times New Roman"/>
          <w:b/>
          <w:noProof/>
          <w:lang w:eastAsia="lt-LT"/>
        </w:rPr>
        <w:t>Guttalax išvaizda ir kiekis pakuotėje</w:t>
      </w:r>
    </w:p>
    <w:p w:rsidR="00533A7D" w:rsidRPr="0060190E" w:rsidRDefault="00533A7D" w:rsidP="00533A7D">
      <w:pPr>
        <w:tabs>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Skaidrus, bespalvis ar gelsvas, arba šiek tiek gelsvai rudas, truputį klampus tirpalas.</w:t>
      </w:r>
    </w:p>
    <w:p w:rsidR="00533A7D" w:rsidRPr="0060190E" w:rsidRDefault="00533A7D" w:rsidP="00533A7D">
      <w:pPr>
        <w:tabs>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Viename buteliuke yra 15 ml arba 30 ml tirpalo.</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Gali būti tiekiamos ne visų dydžių pakuotės.</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b/>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b/>
          <w:noProof/>
        </w:rPr>
      </w:pPr>
      <w:r w:rsidRPr="0060190E">
        <w:rPr>
          <w:rFonts w:ascii="Times New Roman" w:eastAsia="Times New Roman" w:hAnsi="Times New Roman" w:cs="Times New Roman"/>
          <w:b/>
          <w:noProof/>
        </w:rPr>
        <w:t>Registruotojas ir gamintojas</w:t>
      </w:r>
    </w:p>
    <w:p w:rsidR="00533A7D" w:rsidRPr="0060190E" w:rsidRDefault="00533A7D" w:rsidP="00533A7D">
      <w:pPr>
        <w:tabs>
          <w:tab w:val="left" w:pos="567"/>
        </w:tabs>
        <w:spacing w:after="0" w:line="240" w:lineRule="auto"/>
        <w:rPr>
          <w:rFonts w:ascii="Times New Roman" w:eastAsia="Times New Roman" w:hAnsi="Times New Roman" w:cs="Times New Roman"/>
          <w:noProof/>
        </w:rPr>
      </w:pPr>
    </w:p>
    <w:p w:rsidR="00533A7D" w:rsidRPr="0060190E" w:rsidRDefault="00533A7D" w:rsidP="00533A7D">
      <w:pPr>
        <w:tabs>
          <w:tab w:val="left" w:pos="567"/>
        </w:tabs>
        <w:spacing w:after="0" w:line="240" w:lineRule="auto"/>
        <w:rPr>
          <w:rFonts w:ascii="Times New Roman" w:eastAsia="Times New Roman" w:hAnsi="Times New Roman" w:cs="Times New Roman"/>
          <w:i/>
        </w:rPr>
      </w:pPr>
      <w:r w:rsidRPr="0060190E">
        <w:rPr>
          <w:rFonts w:ascii="Times New Roman" w:eastAsia="Times New Roman" w:hAnsi="Times New Roman" w:cs="Times New Roman"/>
          <w:i/>
        </w:rPr>
        <w:t>Registruotojas</w:t>
      </w:r>
    </w:p>
    <w:p w:rsidR="00533A7D" w:rsidRPr="004D313A" w:rsidRDefault="00533A7D" w:rsidP="00533A7D">
      <w:pPr>
        <w:spacing w:after="0" w:line="240" w:lineRule="auto"/>
        <w:rPr>
          <w:rFonts w:ascii="Times New Roman" w:hAnsi="Times New Roman" w:cs="Times New Roman"/>
        </w:rPr>
      </w:pPr>
      <w:r w:rsidRPr="004D313A">
        <w:rPr>
          <w:rFonts w:ascii="Times New Roman" w:hAnsi="Times New Roman" w:cs="Times New Roman"/>
        </w:rPr>
        <w:t>Opella Healthcare France SAS</w:t>
      </w:r>
    </w:p>
    <w:p w:rsidR="00533A7D" w:rsidRPr="004D313A" w:rsidRDefault="00533A7D" w:rsidP="00533A7D">
      <w:pPr>
        <w:spacing w:after="0" w:line="240" w:lineRule="auto"/>
        <w:rPr>
          <w:rFonts w:ascii="Times New Roman" w:hAnsi="Times New Roman" w:cs="Times New Roman"/>
        </w:rPr>
      </w:pPr>
      <w:r w:rsidRPr="004D313A">
        <w:rPr>
          <w:rFonts w:ascii="Times New Roman" w:hAnsi="Times New Roman" w:cs="Times New Roman"/>
        </w:rPr>
        <w:t>82 Avenue Raspail</w:t>
      </w:r>
    </w:p>
    <w:p w:rsidR="00533A7D" w:rsidRPr="004D313A" w:rsidRDefault="00533A7D" w:rsidP="00533A7D">
      <w:pPr>
        <w:spacing w:after="0" w:line="240" w:lineRule="auto"/>
        <w:rPr>
          <w:rFonts w:ascii="Times New Roman" w:hAnsi="Times New Roman" w:cs="Times New Roman"/>
        </w:rPr>
      </w:pPr>
      <w:r w:rsidRPr="004D313A">
        <w:rPr>
          <w:rFonts w:ascii="Times New Roman" w:hAnsi="Times New Roman" w:cs="Times New Roman"/>
        </w:rPr>
        <w:t>94250 Gentilly</w:t>
      </w:r>
    </w:p>
    <w:p w:rsidR="00533A7D" w:rsidRDefault="00533A7D" w:rsidP="00533A7D">
      <w:pPr>
        <w:tabs>
          <w:tab w:val="left" w:pos="567"/>
        </w:tabs>
        <w:spacing w:after="0" w:line="240" w:lineRule="auto"/>
        <w:rPr>
          <w:rFonts w:ascii="Times New Roman" w:hAnsi="Times New Roman" w:cs="Times New Roman"/>
        </w:rPr>
      </w:pPr>
      <w:r w:rsidRPr="004D313A">
        <w:rPr>
          <w:rFonts w:ascii="Times New Roman" w:hAnsi="Times New Roman" w:cs="Times New Roman"/>
        </w:rPr>
        <w:t>Prancūzija</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i/>
        </w:rPr>
      </w:pPr>
      <w:r w:rsidRPr="0060190E">
        <w:rPr>
          <w:rFonts w:ascii="Times New Roman" w:eastAsia="Times New Roman" w:hAnsi="Times New Roman" w:cs="Times New Roman"/>
          <w:i/>
        </w:rPr>
        <w:t>Gamintojas</w:t>
      </w:r>
    </w:p>
    <w:p w:rsidR="00533A7D" w:rsidRDefault="00533A7D" w:rsidP="00533A7D">
      <w:pPr>
        <w:numPr>
          <w:ilvl w:val="12"/>
          <w:numId w:val="0"/>
        </w:numPr>
        <w:tabs>
          <w:tab w:val="left" w:pos="567"/>
        </w:tabs>
        <w:spacing w:after="0" w:line="240" w:lineRule="auto"/>
        <w:rPr>
          <w:rFonts w:ascii="Times New Roman" w:eastAsia="Times New Roman" w:hAnsi="Times New Roman" w:cs="Times New Roman"/>
          <w:noProof/>
          <w:u w:val="single"/>
        </w:rPr>
      </w:pPr>
      <w:r w:rsidRPr="0060190E">
        <w:rPr>
          <w:rFonts w:ascii="Times New Roman" w:eastAsia="Times New Roman" w:hAnsi="Times New Roman" w:cs="Times New Roman"/>
          <w:noProof/>
        </w:rPr>
        <w:t>Istituto De Angeli S. r. l.</w:t>
      </w:r>
    </w:p>
    <w:p w:rsidR="00533A7D" w:rsidRDefault="00533A7D" w:rsidP="00533A7D">
      <w:pPr>
        <w:numPr>
          <w:ilvl w:val="12"/>
          <w:numId w:val="0"/>
        </w:numPr>
        <w:tabs>
          <w:tab w:val="left" w:pos="567"/>
        </w:tabs>
        <w:spacing w:after="0" w:line="240" w:lineRule="auto"/>
        <w:rPr>
          <w:rFonts w:ascii="Times New Roman" w:eastAsia="Times New Roman" w:hAnsi="Times New Roman" w:cs="Times New Roman"/>
          <w:noProof/>
        </w:rPr>
      </w:pPr>
      <w:r w:rsidRPr="0060190E">
        <w:rPr>
          <w:rFonts w:ascii="Times New Roman" w:eastAsia="Times New Roman" w:hAnsi="Times New Roman" w:cs="Times New Roman"/>
          <w:noProof/>
        </w:rPr>
        <w:t>Localito Prulli 103/C</w:t>
      </w:r>
    </w:p>
    <w:p w:rsidR="00533A7D" w:rsidRPr="0060190E" w:rsidRDefault="00533A7D" w:rsidP="00533A7D">
      <w:pPr>
        <w:numPr>
          <w:ilvl w:val="12"/>
          <w:numId w:val="0"/>
        </w:numPr>
        <w:tabs>
          <w:tab w:val="left" w:pos="567"/>
        </w:tabs>
        <w:spacing w:after="0" w:line="240" w:lineRule="auto"/>
        <w:rPr>
          <w:rFonts w:ascii="Times New Roman" w:eastAsia="Times New Roman" w:hAnsi="Times New Roman" w:cs="Times New Roman"/>
          <w:noProof/>
          <w:u w:val="single"/>
        </w:rPr>
      </w:pPr>
      <w:r w:rsidRPr="0060190E">
        <w:rPr>
          <w:rFonts w:ascii="Times New Roman" w:eastAsia="Times New Roman" w:hAnsi="Times New Roman" w:cs="Times New Roman"/>
          <w:noProof/>
        </w:rPr>
        <w:t>I - 50066 Regello (FI</w:t>
      </w:r>
      <w:r w:rsidRPr="0060190E">
        <w:rPr>
          <w:rFonts w:ascii="Times New Roman" w:eastAsia="Times New Roman" w:hAnsi="Times New Roman" w:cs="Times New Roman"/>
          <w:noProof/>
          <w:u w:val="single"/>
        </w:rPr>
        <w:t>)</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r w:rsidRPr="0060190E">
        <w:rPr>
          <w:rFonts w:ascii="Times New Roman" w:eastAsia="Times New Roman" w:hAnsi="Times New Roman" w:cs="Times New Roman"/>
          <w:noProof/>
        </w:rPr>
        <w:t>Italija</w:t>
      </w: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noProof/>
        </w:rPr>
      </w:pPr>
    </w:p>
    <w:p w:rsidR="00533A7D" w:rsidRPr="000A0FB1" w:rsidRDefault="00533A7D" w:rsidP="00533A7D">
      <w:pPr>
        <w:spacing w:after="0" w:line="240" w:lineRule="auto"/>
        <w:rPr>
          <w:rFonts w:ascii="Times New Roman" w:hAnsi="Times New Roman" w:cs="Times New Roman"/>
        </w:rPr>
      </w:pPr>
      <w:r w:rsidRPr="000A0FB1">
        <w:rPr>
          <w:rFonts w:ascii="Times New Roman" w:hAnsi="Times New Roman" w:cs="Times New Roman"/>
        </w:rPr>
        <w:t>Jeigu apie šį vaistą norite sužinoti daugiau, kreipkitės į vietinį registruotojo atstovą:</w:t>
      </w:r>
    </w:p>
    <w:p w:rsidR="00533A7D" w:rsidRDefault="00533A7D" w:rsidP="00533A7D">
      <w:pPr>
        <w:spacing w:after="0" w:line="240" w:lineRule="auto"/>
        <w:rPr>
          <w:rFonts w:ascii="Times New Roman" w:hAnsi="Times New Roman" w:cs="Times New Roman"/>
        </w:rPr>
      </w:pPr>
    </w:p>
    <w:p w:rsidR="00533A7D" w:rsidRPr="000A0FB1" w:rsidRDefault="00533A7D" w:rsidP="00533A7D">
      <w:pPr>
        <w:spacing w:after="0" w:line="240" w:lineRule="auto"/>
        <w:rPr>
          <w:rFonts w:ascii="Times New Roman" w:hAnsi="Times New Roman" w:cs="Times New Roman"/>
        </w:rPr>
      </w:pPr>
      <w:r w:rsidRPr="000A0FB1">
        <w:rPr>
          <w:rFonts w:ascii="Times New Roman" w:hAnsi="Times New Roman" w:cs="Times New Roman"/>
        </w:rPr>
        <w:t>UAB „STADA Baltics“</w:t>
      </w:r>
    </w:p>
    <w:p w:rsidR="00533A7D" w:rsidRPr="000A0FB1" w:rsidRDefault="00533A7D" w:rsidP="00533A7D">
      <w:pPr>
        <w:spacing w:after="0" w:line="240" w:lineRule="auto"/>
        <w:rPr>
          <w:rFonts w:ascii="Times New Roman" w:hAnsi="Times New Roman" w:cs="Times New Roman"/>
        </w:rPr>
      </w:pPr>
      <w:r w:rsidRPr="000A0FB1">
        <w:rPr>
          <w:rFonts w:ascii="Times New Roman" w:hAnsi="Times New Roman" w:cs="Times New Roman"/>
        </w:rPr>
        <w:t>A. Goštauto g. 40A</w:t>
      </w:r>
    </w:p>
    <w:p w:rsidR="00533A7D" w:rsidRPr="000A0FB1" w:rsidRDefault="00533A7D" w:rsidP="00533A7D">
      <w:pPr>
        <w:spacing w:after="0" w:line="240" w:lineRule="auto"/>
        <w:rPr>
          <w:rFonts w:ascii="Times New Roman" w:hAnsi="Times New Roman" w:cs="Times New Roman"/>
        </w:rPr>
      </w:pPr>
      <w:r w:rsidRPr="000A0FB1">
        <w:rPr>
          <w:rFonts w:ascii="Times New Roman" w:hAnsi="Times New Roman" w:cs="Times New Roman"/>
        </w:rPr>
        <w:t>03163 Vilnius, Lietuva</w:t>
      </w:r>
    </w:p>
    <w:p w:rsidR="00533A7D" w:rsidRPr="000A0FB1" w:rsidRDefault="00533A7D" w:rsidP="00533A7D">
      <w:pPr>
        <w:spacing w:after="0" w:line="240" w:lineRule="auto"/>
        <w:rPr>
          <w:rFonts w:ascii="Times New Roman" w:hAnsi="Times New Roman" w:cs="Times New Roman"/>
        </w:rPr>
      </w:pPr>
      <w:r w:rsidRPr="000A0FB1">
        <w:rPr>
          <w:rFonts w:ascii="Times New Roman" w:hAnsi="Times New Roman" w:cs="Times New Roman"/>
        </w:rPr>
        <w:t>Tel. +370 52603926</w:t>
      </w:r>
    </w:p>
    <w:p w:rsidR="00533A7D" w:rsidRPr="0060190E" w:rsidRDefault="00533A7D" w:rsidP="00533A7D">
      <w:pPr>
        <w:numPr>
          <w:ilvl w:val="12"/>
          <w:numId w:val="0"/>
        </w:numPr>
        <w:tabs>
          <w:tab w:val="left" w:pos="567"/>
        </w:tabs>
        <w:spacing w:after="0" w:line="240" w:lineRule="auto"/>
        <w:jc w:val="center"/>
        <w:rPr>
          <w:rFonts w:ascii="Times New Roman" w:eastAsia="Times New Roman" w:hAnsi="Times New Roman" w:cs="Times New Roman"/>
          <w:noProof/>
        </w:rPr>
      </w:pPr>
    </w:p>
    <w:p w:rsidR="00533A7D" w:rsidRPr="0060190E" w:rsidRDefault="00533A7D" w:rsidP="00533A7D">
      <w:pPr>
        <w:tabs>
          <w:tab w:val="left" w:pos="567"/>
        </w:tabs>
        <w:spacing w:after="0" w:line="240" w:lineRule="auto"/>
        <w:ind w:left="567" w:hanging="567"/>
        <w:rPr>
          <w:rFonts w:ascii="Times New Roman" w:eastAsia="Times New Roman" w:hAnsi="Times New Roman" w:cs="Times New Roman"/>
          <w:b/>
        </w:rPr>
      </w:pPr>
      <w:r w:rsidRPr="0060190E">
        <w:rPr>
          <w:rFonts w:ascii="Times New Roman" w:eastAsia="Times New Roman" w:hAnsi="Times New Roman" w:cs="Times New Roman"/>
          <w:b/>
          <w:noProof/>
        </w:rPr>
        <w:t>Šis pakuotės lapelis paskutinį kartą patvirtintas</w:t>
      </w:r>
      <w:r>
        <w:rPr>
          <w:rFonts w:ascii="Times New Roman" w:eastAsia="Times New Roman" w:hAnsi="Times New Roman" w:cs="Times New Roman"/>
          <w:b/>
          <w:noProof/>
        </w:rPr>
        <w:t xml:space="preserve"> 2022-01-01</w:t>
      </w:r>
      <w:r w:rsidRPr="0060190E">
        <w:rPr>
          <w:rFonts w:ascii="Times New Roman" w:eastAsia="Times New Roman" w:hAnsi="Times New Roman" w:cs="Times New Roman"/>
          <w:b/>
          <w:noProof/>
        </w:rPr>
        <w:t>.</w:t>
      </w:r>
    </w:p>
    <w:p w:rsidR="00533A7D" w:rsidRPr="0060190E" w:rsidRDefault="00533A7D" w:rsidP="00533A7D">
      <w:pPr>
        <w:tabs>
          <w:tab w:val="left" w:pos="567"/>
        </w:tabs>
        <w:spacing w:after="0" w:line="240" w:lineRule="auto"/>
        <w:rPr>
          <w:rFonts w:ascii="Times New Roman" w:eastAsia="Times New Roman" w:hAnsi="Times New Roman" w:cs="Times New Roman"/>
          <w:lang w:eastAsia="x-none"/>
        </w:rPr>
      </w:pPr>
    </w:p>
    <w:p w:rsidR="00533A7D" w:rsidRPr="0060190E" w:rsidRDefault="00533A7D" w:rsidP="00533A7D">
      <w:pPr>
        <w:tabs>
          <w:tab w:val="left" w:pos="567"/>
        </w:tabs>
        <w:spacing w:after="0" w:line="240" w:lineRule="auto"/>
        <w:rPr>
          <w:rFonts w:ascii="Times New Roman" w:eastAsia="Times New Roman" w:hAnsi="Times New Roman" w:cs="Times New Roman"/>
          <w:lang w:eastAsia="x-none"/>
        </w:rPr>
      </w:pPr>
      <w:r w:rsidRPr="0060190E">
        <w:rPr>
          <w:rFonts w:ascii="Times New Roman" w:eastAsia="Times New Roman" w:hAnsi="Times New Roman" w:cs="Times New Roman"/>
          <w:lang w:eastAsia="x-none"/>
        </w:rPr>
        <w:t xml:space="preserve">Išsami informacija apie šį vaistą pateikiama Valstybinės vaistų kontrolės tarnybos prie Lietuvos Respublikos sveikatos apsaugos ministerijos tinklalapyje </w:t>
      </w:r>
      <w:hyperlink r:id="rId8" w:history="1">
        <w:r w:rsidRPr="0060190E">
          <w:rPr>
            <w:rFonts w:ascii="Times New Roman" w:eastAsia="Times New Roman" w:hAnsi="Times New Roman" w:cs="Times New Roman"/>
            <w:color w:val="0000FF"/>
            <w:u w:val="single"/>
            <w:lang w:eastAsia="x-none"/>
          </w:rPr>
          <w:t>http://www.vvkt.lt/</w:t>
        </w:r>
      </w:hyperlink>
    </w:p>
    <w:p w:rsidR="00533A7D" w:rsidRPr="0060190E" w:rsidRDefault="00533A7D" w:rsidP="00533A7D">
      <w:pPr>
        <w:tabs>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567"/>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Toliau pateikta informacija skirta tik sveikatos priežiūros specialistams</w:t>
      </w:r>
    </w:p>
    <w:p w:rsidR="00533A7D" w:rsidRPr="0060190E" w:rsidRDefault="00533A7D" w:rsidP="00533A7D">
      <w:pPr>
        <w:tabs>
          <w:tab w:val="left" w:pos="567"/>
        </w:tabs>
        <w:spacing w:after="0" w:line="240" w:lineRule="auto"/>
        <w:rPr>
          <w:rFonts w:ascii="Times New Roman" w:eastAsia="Times New Roman" w:hAnsi="Times New Roman" w:cs="Times New Roman"/>
        </w:rPr>
      </w:pPr>
    </w:p>
    <w:p w:rsidR="00533A7D" w:rsidRPr="0060190E" w:rsidRDefault="00533A7D" w:rsidP="00533A7D">
      <w:pPr>
        <w:tabs>
          <w:tab w:val="left" w:pos="567"/>
        </w:tabs>
        <w:spacing w:after="0" w:line="240" w:lineRule="auto"/>
        <w:rPr>
          <w:rFonts w:ascii="Times New Roman" w:eastAsia="Times New Roman" w:hAnsi="Times New Roman" w:cs="Times New Roman"/>
          <w:u w:val="single"/>
        </w:rPr>
      </w:pPr>
      <w:r w:rsidRPr="0060190E">
        <w:rPr>
          <w:rFonts w:ascii="Times New Roman" w:eastAsia="Times New Roman" w:hAnsi="Times New Roman" w:cs="Times New Roman"/>
          <w:u w:val="single"/>
        </w:rPr>
        <w:t>Perdozavimo gydymas</w:t>
      </w:r>
    </w:p>
    <w:p w:rsidR="00533A7D" w:rsidRPr="0060190E" w:rsidRDefault="00533A7D" w:rsidP="00533A7D">
      <w:pPr>
        <w:tabs>
          <w:tab w:val="left" w:pos="0"/>
        </w:tabs>
        <w:spacing w:after="0" w:line="240" w:lineRule="auto"/>
        <w:rPr>
          <w:rFonts w:ascii="Times New Roman" w:eastAsia="Times New Roman" w:hAnsi="Times New Roman" w:cs="Times New Roman"/>
        </w:rPr>
      </w:pPr>
      <w:r w:rsidRPr="0060190E">
        <w:rPr>
          <w:rFonts w:ascii="Times New Roman" w:eastAsia="Times New Roman" w:hAnsi="Times New Roman" w:cs="Times New Roman"/>
        </w:rPr>
        <w:t>Išgerto Guttalax absorbciją galima iki minimumo sumažinti arba sustabdyti išplovus skrandį arba pacientą pravimdžius. Gali prireikti injekuoti skysčių ir sureguliuoti elektrolitų pusiausvyrą. Tai labai svarbu senyviems ir jauniems žmonėms. Šiek tiek gali padėti lygiųjų raumenų spazmus atpalaiduojantys vaistai.</w:t>
      </w:r>
    </w:p>
    <w:p w:rsidR="00F37FED" w:rsidRDefault="00F37FED"/>
    <w:sectPr w:rsidR="00F3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26910"/>
    <w:multiLevelType w:val="hybridMultilevel"/>
    <w:tmpl w:val="5F244A42"/>
    <w:lvl w:ilvl="0" w:tplc="E5D6C96A">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6554E7"/>
    <w:multiLevelType w:val="hybridMultilevel"/>
    <w:tmpl w:val="D632B888"/>
    <w:lvl w:ilvl="0" w:tplc="AF7256AE">
      <w:start w:val="1"/>
      <w:numFmt w:val="bullet"/>
      <w:lvlText w:val="-"/>
      <w:lvlJc w:val="left"/>
      <w:pPr>
        <w:tabs>
          <w:tab w:val="num" w:pos="567"/>
        </w:tabs>
        <w:ind w:left="567" w:hanging="567"/>
      </w:pPr>
      <w:rPr>
        <w:rFonts w:ascii="Times New Roman" w:hAnsi="Times New Roman" w:cs="Times New Roman" w:hint="default"/>
        <w:sz w:val="22"/>
        <w:szCs w:val="22"/>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7D"/>
    <w:rsid w:val="00533A7D"/>
    <w:rsid w:val="00F3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chartTrackingRefBased/>
  <w15:docId w15:val="{795EAA5F-FE89-4E15-AF83-170AE5C1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1798</Words>
  <Characters>10251</Characters>
  <Application>Microsoft Office Word</Application>
  <DocSecurity>0</DocSecurity>
  <Lines>85</Lines>
  <Paragraphs>24</Paragraphs>
  <ScaleCrop>false</ScaleCrop>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2022-01-12T13:57:00Z</dcterms:created>
  <dcterms:modified xsi:type="dcterms:W3CDTF">2022-01-12T13:57:00Z</dcterms:modified>
</cp:coreProperties>
</file>