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7D7" w:rsidRDefault="009027D7" w:rsidP="009027D7">
      <w:pPr>
        <w:tabs>
          <w:tab w:val="left" w:pos="567"/>
        </w:tabs>
        <w:spacing w:after="0" w:line="240" w:lineRule="auto"/>
        <w:ind w:left="567" w:hanging="567"/>
        <w:jc w:val="center"/>
        <w:outlineLvl w:val="0"/>
        <w:rPr>
          <w:rFonts w:ascii="Times New Roman" w:eastAsia="Calibri" w:hAnsi="Times New Roman" w:cs="Times New Roman"/>
          <w:b/>
          <w:caps/>
        </w:rPr>
      </w:pPr>
      <w:r>
        <w:rPr>
          <w:rFonts w:ascii="Times New Roman" w:eastAsia="Calibri" w:hAnsi="Times New Roman" w:cs="Times New Roman"/>
          <w:b/>
        </w:rPr>
        <w:t>Pakuotės lapelis: informacija vartotojui</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jc w:val="center"/>
        <w:rPr>
          <w:rFonts w:ascii="Times New Roman" w:eastAsia="MS Mincho" w:hAnsi="Times New Roman" w:cs="Times New Roman"/>
          <w:b/>
          <w:lang w:eastAsia="ja-JP"/>
        </w:rPr>
      </w:pPr>
      <w:r>
        <w:rPr>
          <w:rFonts w:ascii="Times New Roman" w:eastAsia="MS Mincho" w:hAnsi="Times New Roman" w:cs="Times New Roman"/>
          <w:b/>
          <w:lang w:eastAsia="ja-JP"/>
        </w:rPr>
        <w:t>Maalox 40 mg/35 mg/ml geriamoji suspensija</w:t>
      </w:r>
    </w:p>
    <w:p w:rsidR="009027D7" w:rsidRDefault="009027D7" w:rsidP="009027D7">
      <w:pPr>
        <w:spacing w:after="0" w:line="240" w:lineRule="auto"/>
        <w:jc w:val="center"/>
        <w:rPr>
          <w:rFonts w:ascii="Times New Roman" w:eastAsia="Calibri" w:hAnsi="Times New Roman" w:cs="Times New Roman"/>
        </w:rPr>
      </w:pPr>
      <w:r>
        <w:rPr>
          <w:rFonts w:ascii="Times New Roman" w:eastAsia="Calibri" w:hAnsi="Times New Roman" w:cs="Times New Roman"/>
        </w:rPr>
        <w:t>Magnio hidroksidas, aliuminio hidroksidas</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rPr>
      </w:pPr>
      <w:r>
        <w:rPr>
          <w:rFonts w:ascii="Times New Roman" w:eastAsia="Calibri" w:hAnsi="Times New Roman" w:cs="Times New Roman"/>
          <w:b/>
        </w:rPr>
        <w:t>Atidžiai perskaitykite visą šį lapelį, prieš pradėdami vartoti šį vaistą, nes jame pateikiama Jums svarbi informacija.</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Visada vartokite šį vaistą tiksliai kaip aprašyta šiame lapelyje arba kaip nurodė gydytojas arba vaistininkas.</w:t>
      </w:r>
    </w:p>
    <w:p w:rsidR="009027D7" w:rsidRDefault="009027D7" w:rsidP="009027D7">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Neišmeskite šio lapelio, nes vėl gali prireikti jį perskaityti.</w:t>
      </w:r>
    </w:p>
    <w:p w:rsidR="009027D7" w:rsidRDefault="009027D7" w:rsidP="009027D7">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Jeigu norite sužinoti daugiau arba pasitarti, kreipkitės į vaistininką.</w:t>
      </w:r>
    </w:p>
    <w:p w:rsidR="009027D7" w:rsidRDefault="009027D7" w:rsidP="009027D7">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Jeigu pasireiškė šalutinis poveikis (net jeigu jis šiame lapelyje nenurodytas), kreipkitės į gydytoją arba vaistininką. Žr. 4 skyrių.</w:t>
      </w:r>
    </w:p>
    <w:p w:rsidR="009027D7" w:rsidRDefault="009027D7" w:rsidP="009027D7">
      <w:pPr>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Jeigu per 10 dienų Jūsų savijauta nepagerėjo arba net pablogėjo, kreipkitės į gydytoją.</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rPr>
      </w:pPr>
      <w:r>
        <w:rPr>
          <w:rFonts w:ascii="Times New Roman" w:eastAsia="Calibri" w:hAnsi="Times New Roman" w:cs="Times New Roman"/>
          <w:b/>
        </w:rPr>
        <w:t>Apie ką rašoma šiame lapelyje?</w:t>
      </w:r>
    </w:p>
    <w:p w:rsidR="009027D7" w:rsidRDefault="009027D7" w:rsidP="009027D7">
      <w:pPr>
        <w:spacing w:after="0" w:line="240" w:lineRule="auto"/>
        <w:rPr>
          <w:rFonts w:ascii="Times New Roman" w:eastAsia="Calibri" w:hAnsi="Times New Roman" w:cs="Times New Roman"/>
          <w:b/>
        </w:rPr>
      </w:pPr>
    </w:p>
    <w:p w:rsidR="009027D7" w:rsidRDefault="009027D7" w:rsidP="009027D7">
      <w:pPr>
        <w:spacing w:after="0" w:line="240" w:lineRule="auto"/>
        <w:ind w:left="567" w:hanging="567"/>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Kas yra Maalox ir kam jis vartojamas</w:t>
      </w:r>
    </w:p>
    <w:p w:rsidR="009027D7" w:rsidRDefault="009027D7" w:rsidP="009027D7">
      <w:pPr>
        <w:spacing w:after="0" w:line="240" w:lineRule="auto"/>
        <w:ind w:left="567" w:hanging="567"/>
        <w:rPr>
          <w:rFonts w:ascii="Times New Roman" w:eastAsia="Calibri" w:hAnsi="Times New Roman" w:cs="Times New Roman"/>
        </w:rPr>
      </w:pPr>
      <w:r>
        <w:rPr>
          <w:rFonts w:ascii="Times New Roman" w:eastAsia="Calibri" w:hAnsi="Times New Roman" w:cs="Times New Roman"/>
        </w:rPr>
        <w:t>2.</w:t>
      </w:r>
      <w:r>
        <w:rPr>
          <w:rFonts w:ascii="Times New Roman" w:eastAsia="Calibri" w:hAnsi="Times New Roman" w:cs="Times New Roman"/>
        </w:rPr>
        <w:tab/>
        <w:t>Kas žinotina prieš vartojant Maalox</w:t>
      </w:r>
    </w:p>
    <w:p w:rsidR="009027D7" w:rsidRDefault="009027D7" w:rsidP="009027D7">
      <w:pPr>
        <w:spacing w:after="0" w:line="240" w:lineRule="auto"/>
        <w:ind w:left="567" w:hanging="567"/>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Kaip vartoti Maalox</w:t>
      </w:r>
    </w:p>
    <w:p w:rsidR="009027D7" w:rsidRDefault="009027D7" w:rsidP="009027D7">
      <w:pPr>
        <w:spacing w:after="0" w:line="240" w:lineRule="auto"/>
        <w:ind w:left="567" w:hanging="567"/>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Galimas šalutinis poveikis</w:t>
      </w:r>
    </w:p>
    <w:p w:rsidR="009027D7" w:rsidRDefault="009027D7" w:rsidP="009027D7">
      <w:pPr>
        <w:spacing w:after="0" w:line="240" w:lineRule="auto"/>
        <w:ind w:left="567" w:hanging="567"/>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rPr>
        <w:tab/>
        <w:t>Kaip laikyti Maalox</w:t>
      </w:r>
    </w:p>
    <w:p w:rsidR="009027D7" w:rsidRDefault="009027D7" w:rsidP="009027D7">
      <w:pPr>
        <w:spacing w:after="0" w:line="240" w:lineRule="auto"/>
        <w:ind w:left="567" w:hanging="567"/>
        <w:rPr>
          <w:rFonts w:ascii="Times New Roman" w:eastAsia="Calibri" w:hAnsi="Times New Roman" w:cs="Times New Roman"/>
        </w:rPr>
      </w:pPr>
      <w:r>
        <w:rPr>
          <w:rFonts w:ascii="Times New Roman" w:eastAsia="Calibri" w:hAnsi="Times New Roman" w:cs="Times New Roman"/>
        </w:rPr>
        <w:t>6.</w:t>
      </w:r>
      <w:r>
        <w:rPr>
          <w:rFonts w:ascii="Times New Roman" w:eastAsia="Calibri" w:hAnsi="Times New Roman" w:cs="Times New Roman"/>
        </w:rPr>
        <w:tab/>
        <w:t>Pakuotės turinys ir kita informacija</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p>
    <w:p w:rsidR="009027D7" w:rsidRDefault="009027D7" w:rsidP="009027D7">
      <w:pPr>
        <w:keepNext/>
        <w:tabs>
          <w:tab w:val="left" w:pos="567"/>
        </w:tabs>
        <w:spacing w:after="0" w:line="240" w:lineRule="auto"/>
        <w:ind w:left="567" w:hanging="567"/>
        <w:outlineLvl w:val="1"/>
        <w:rPr>
          <w:rFonts w:ascii="Times New Roman" w:eastAsia="Calibri" w:hAnsi="Times New Roman" w:cs="Times New Roman"/>
          <w:b/>
        </w:rPr>
      </w:pPr>
      <w:r>
        <w:rPr>
          <w:rFonts w:ascii="Times New Roman" w:eastAsia="Calibri" w:hAnsi="Times New Roman" w:cs="Times New Roman"/>
          <w:b/>
        </w:rPr>
        <w:t>1.</w:t>
      </w:r>
      <w:r>
        <w:rPr>
          <w:rFonts w:ascii="Times New Roman" w:eastAsia="Calibri" w:hAnsi="Times New Roman" w:cs="Times New Roman"/>
          <w:b/>
        </w:rPr>
        <w:tab/>
        <w:t>Kas yra Maalox ir kam jis vartojamas</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jc w:val="both"/>
        <w:rPr>
          <w:rFonts w:ascii="Times New Roman" w:eastAsia="Calibri" w:hAnsi="Times New Roman" w:cs="Times New Roman"/>
        </w:rPr>
      </w:pPr>
      <w:r>
        <w:rPr>
          <w:rFonts w:ascii="Times New Roman" w:eastAsia="Calibri" w:hAnsi="Times New Roman" w:cs="Times New Roman"/>
        </w:rPr>
        <w:t>Šis vaistas vartojamas rėmens ir skrandžio turinio kilimo į stemplę simptomams malšinti suaugusiems ir paaugliams nuo 15 metų.</w:t>
      </w:r>
    </w:p>
    <w:p w:rsidR="009027D7" w:rsidRDefault="009027D7" w:rsidP="009027D7">
      <w:pPr>
        <w:spacing w:after="0" w:line="240" w:lineRule="auto"/>
        <w:jc w:val="both"/>
        <w:rPr>
          <w:rFonts w:ascii="Times New Roman" w:eastAsia="Calibri" w:hAnsi="Times New Roman" w:cs="Times New Roman"/>
        </w:rPr>
      </w:pPr>
    </w:p>
    <w:p w:rsidR="009027D7" w:rsidRDefault="009027D7" w:rsidP="009027D7">
      <w:pPr>
        <w:spacing w:after="0" w:line="240" w:lineRule="auto"/>
        <w:jc w:val="both"/>
        <w:rPr>
          <w:rFonts w:ascii="Times New Roman" w:eastAsia="Calibri" w:hAnsi="Times New Roman" w:cs="Times New Roman"/>
        </w:rPr>
      </w:pPr>
      <w:r>
        <w:rPr>
          <w:rFonts w:ascii="Times New Roman" w:eastAsia="Calibri" w:hAnsi="Times New Roman" w:cs="Times New Roman"/>
        </w:rPr>
        <w:t>Rėmenį ir skrandžio turinio kilimą į stemplę gali sukelti kai kurie maisto produktai (pvz., rūgštūs, aštrūs ir kt.), alkoholiniai gėrimai ir kai kurie vaistai (pvz., aspirinas, vaistai nuo uždegimo).</w:t>
      </w:r>
    </w:p>
    <w:p w:rsidR="009027D7" w:rsidRDefault="009027D7" w:rsidP="009027D7">
      <w:pPr>
        <w:spacing w:after="0" w:line="240" w:lineRule="auto"/>
        <w:jc w:val="both"/>
      </w:pPr>
      <w:r>
        <w:rPr>
          <w:rFonts w:ascii="Times New Roman" w:eastAsia="Calibri" w:hAnsi="Times New Roman" w:cs="Times New Roman"/>
        </w:rPr>
        <w:t>Kad ligos simptomų pasireikštų rečiau, reikia:</w:t>
      </w:r>
    </w:p>
    <w:p w:rsidR="009027D7" w:rsidRDefault="009027D7" w:rsidP="009027D7">
      <w:pPr>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nepersivalgyti riebaus maisto;</w:t>
      </w:r>
    </w:p>
    <w:p w:rsidR="009027D7" w:rsidRDefault="009027D7" w:rsidP="009027D7">
      <w:pPr>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vengti kai kurių maisto produktų, pvz., šokolado, aštrių patiekalų, pipirų, vaisių sulčių, sodos gėrimų;</w:t>
      </w:r>
    </w:p>
    <w:p w:rsidR="009027D7" w:rsidRDefault="009027D7" w:rsidP="009027D7">
      <w:pPr>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valgyti įvairų maistą;</w:t>
      </w:r>
    </w:p>
    <w:p w:rsidR="009027D7" w:rsidRDefault="009027D7" w:rsidP="009027D7">
      <w:pPr>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reguliuoti kūno svorį ir reguliariai mankštintis;</w:t>
      </w:r>
    </w:p>
    <w:p w:rsidR="009027D7" w:rsidRDefault="009027D7" w:rsidP="009027D7">
      <w:pPr>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stengtis negulti tuoj po valgio;</w:t>
      </w:r>
    </w:p>
    <w:p w:rsidR="009027D7" w:rsidRDefault="009027D7" w:rsidP="009027D7">
      <w:pPr>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nedirbti sunkaus fizinio darbo tuoj po valgio;</w:t>
      </w:r>
    </w:p>
    <w:p w:rsidR="009027D7" w:rsidRDefault="009027D7" w:rsidP="009027D7">
      <w:pPr>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nerūkyti ir nevartoti per daug alkoholinių gėrimų.</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ind w:right="-2"/>
        <w:rPr>
          <w:rFonts w:ascii="Times New Roman" w:eastAsia="Calibri" w:hAnsi="Times New Roman" w:cs="Times New Roman"/>
        </w:rPr>
      </w:pPr>
      <w:r>
        <w:rPr>
          <w:rFonts w:ascii="Times New Roman" w:eastAsia="Calibri" w:hAnsi="Times New Roman" w:cs="Times New Roman"/>
        </w:rPr>
        <w:t>Jeigu per 10 dienų Jūsų savijauta nepagerėjo arba net pablogėjo, kreipkitės į gydytoją.</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p>
    <w:p w:rsidR="009027D7" w:rsidRDefault="009027D7" w:rsidP="009027D7">
      <w:pPr>
        <w:keepNext/>
        <w:tabs>
          <w:tab w:val="left" w:pos="567"/>
        </w:tabs>
        <w:spacing w:after="0" w:line="240" w:lineRule="auto"/>
        <w:ind w:left="567" w:hanging="567"/>
        <w:outlineLvl w:val="1"/>
        <w:rPr>
          <w:rFonts w:ascii="Times New Roman" w:eastAsia="Calibri" w:hAnsi="Times New Roman" w:cs="Times New Roman"/>
          <w:b/>
        </w:rPr>
      </w:pPr>
      <w:r>
        <w:rPr>
          <w:rFonts w:ascii="Times New Roman" w:eastAsia="Calibri" w:hAnsi="Times New Roman" w:cs="Times New Roman"/>
          <w:b/>
        </w:rPr>
        <w:t>2.</w:t>
      </w:r>
      <w:r>
        <w:rPr>
          <w:rFonts w:ascii="Times New Roman" w:eastAsia="Calibri" w:hAnsi="Times New Roman" w:cs="Times New Roman"/>
          <w:b/>
        </w:rPr>
        <w:tab/>
        <w:t>Kas žinotina prieš vartojant Maalox</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bCs/>
        </w:rPr>
      </w:pPr>
      <w:r>
        <w:rPr>
          <w:rFonts w:ascii="Times New Roman" w:eastAsia="Calibri" w:hAnsi="Times New Roman" w:cs="Times New Roman"/>
          <w:b/>
          <w:bCs/>
        </w:rPr>
        <w:t>Maalox vartoti negalima:</w:t>
      </w:r>
    </w:p>
    <w:p w:rsidR="009027D7" w:rsidRDefault="009027D7" w:rsidP="009027D7">
      <w:pPr>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jeigu yra alergija magnio hidroksidui ar aliuminio hidroksidui arba bet kuriai pagalbinei šio vaisto medžiagai (jos išvardytos 6 skyriuje);</w:t>
      </w:r>
    </w:p>
    <w:p w:rsidR="009027D7" w:rsidRDefault="009027D7" w:rsidP="009027D7">
      <w:pPr>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jeigu sergate sunkia inkstų liga;</w:t>
      </w:r>
    </w:p>
    <w:p w:rsidR="009027D7" w:rsidRDefault="009027D7" w:rsidP="009027D7">
      <w:pPr>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jeigu yra stiprus pilvo skausmas ir/arba yra žarnų nepraeinamumo tikimybė.</w:t>
      </w:r>
    </w:p>
    <w:p w:rsidR="009027D7" w:rsidRDefault="009027D7" w:rsidP="009027D7">
      <w:pPr>
        <w:spacing w:after="0" w:line="240" w:lineRule="auto"/>
        <w:ind w:left="720"/>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Jei abejojate, pasitarkite su gydytoju arba vaistininku.</w:t>
      </w:r>
    </w:p>
    <w:p w:rsidR="009027D7" w:rsidRDefault="009027D7" w:rsidP="009027D7">
      <w:pPr>
        <w:spacing w:after="0" w:line="240" w:lineRule="auto"/>
        <w:rPr>
          <w:rFonts w:ascii="Times New Roman" w:eastAsia="Calibri" w:hAnsi="Times New Roman" w:cs="Times New Roman"/>
        </w:rPr>
      </w:pPr>
    </w:p>
    <w:p w:rsidR="009027D7" w:rsidRDefault="009027D7" w:rsidP="009027D7">
      <w:pPr>
        <w:keepNext/>
        <w:spacing w:after="0" w:line="240" w:lineRule="auto"/>
        <w:outlineLvl w:val="3"/>
        <w:rPr>
          <w:rFonts w:ascii="Times New Roman" w:eastAsia="Calibri" w:hAnsi="Times New Roman" w:cs="Times New Roman"/>
          <w:b/>
          <w:bCs/>
        </w:rPr>
      </w:pPr>
      <w:r>
        <w:rPr>
          <w:rFonts w:ascii="Times New Roman" w:eastAsia="Calibri" w:hAnsi="Times New Roman" w:cs="Times New Roman"/>
          <w:b/>
          <w:bCs/>
        </w:rPr>
        <w:t>Įspėjimai ir atsargumo priemonės</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Pasitarkite su gydytoju arba vaistininku, prieš pradėdami vartoti Maalox, jeigu:</w:t>
      </w:r>
    </w:p>
    <w:p w:rsidR="009027D7" w:rsidRDefault="009027D7" w:rsidP="009027D7">
      <w:pPr>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mažėja kūno svoris;</w:t>
      </w:r>
    </w:p>
    <w:p w:rsidR="009027D7" w:rsidRDefault="009027D7" w:rsidP="009027D7">
      <w:pPr>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kraujuoja arba anksčiau yra kraujavę iš virškinimo trakto;</w:t>
      </w:r>
    </w:p>
    <w:p w:rsidR="009027D7" w:rsidRDefault="009027D7" w:rsidP="009027D7">
      <w:pPr>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sutrikęs rijimas arba nuolat jaučiate nemalonų pojūtį pilve;</w:t>
      </w:r>
    </w:p>
    <w:p w:rsidR="009027D7" w:rsidRDefault="009027D7" w:rsidP="009027D7">
      <w:pPr>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virškinimo sutrikimų atsirado pirmą kartą arba jie neseniai pakito;</w:t>
      </w:r>
    </w:p>
    <w:p w:rsidR="009027D7" w:rsidRDefault="009027D7" w:rsidP="009027D7">
      <w:pPr>
        <w:numPr>
          <w:ilvl w:val="0"/>
          <w:numId w:val="6"/>
        </w:numPr>
        <w:spacing w:after="0" w:line="240" w:lineRule="auto"/>
        <w:rPr>
          <w:rFonts w:ascii="Times New Roman" w:eastAsia="Calibri" w:hAnsi="Times New Roman" w:cs="Times New Roman"/>
        </w:rPr>
      </w:pPr>
      <w:r>
        <w:rPr>
          <w:rFonts w:ascii="Times New Roman" w:eastAsia="Calibri" w:hAnsi="Times New Roman" w:cs="Times New Roman"/>
        </w:rPr>
        <w:t>sergate inkstų liga.</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Jei rėmuo ir skrandžio turinio refliukso į stemplę simptomai stiprėja, išlieka ar pasikartoja, reikia atmesti kitas ligas, galinčias tuos simptomus sukelti (pvz.: virškinimo trakto išopėjimas, vėžiniai susirgimai).</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Pacientams, kuriems nustatytas inkstų funkcijos sutrikimas, jaunesniems kaip 2 metų vaikams, senyviems pacientams bei kitiems pacientams, kuriems yra fosforo trūkumo pavojus, prieš pradedant vartoti Maalox reikia kreiptis į gydytoją.</w:t>
      </w:r>
    </w:p>
    <w:p w:rsidR="009027D7" w:rsidRDefault="009027D7" w:rsidP="009027D7">
      <w:pPr>
        <w:tabs>
          <w:tab w:val="left" w:pos="567"/>
        </w:tabs>
        <w:spacing w:after="0"/>
        <w:rPr>
          <w:rFonts w:ascii="Times New Roman" w:eastAsia="Calibri" w:hAnsi="Times New Roman" w:cs="Times New Roman"/>
          <w:bCs/>
        </w:rPr>
      </w:pPr>
    </w:p>
    <w:p w:rsidR="009027D7" w:rsidRDefault="009027D7" w:rsidP="009027D7">
      <w:pPr>
        <w:tabs>
          <w:tab w:val="left" w:pos="567"/>
        </w:tabs>
        <w:spacing w:after="0"/>
        <w:rPr>
          <w:rFonts w:ascii="Times New Roman" w:eastAsia="Calibri" w:hAnsi="Times New Roman" w:cs="Times New Roman"/>
          <w:bCs/>
        </w:rPr>
      </w:pPr>
      <w:r>
        <w:rPr>
          <w:rFonts w:ascii="Times New Roman" w:eastAsia="Calibri" w:hAnsi="Times New Roman" w:cs="Times New Roman"/>
          <w:bCs/>
        </w:rPr>
        <w:t>Nerekomenduojama kartu vartoti rūgščių maisto produktų.</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Jei per 10 dienų simptomai nepalengvėjo arba pasunkėjo, nepasidarė retesni arba padažnėjo, didinti dozės negalima. Kreipkitės į gydytoją arba vaistininką.</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Vaikai</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Mažiems vaikams magnio hidroksido vartojimas gali sukelti hipermagnezemiją, ypač jeigu jų inkstų funkcija sutrikusi arba jiems išsivysčiusi dehidratacija.</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rPr>
      </w:pPr>
      <w:r>
        <w:rPr>
          <w:rFonts w:ascii="Times New Roman" w:eastAsia="Calibri" w:hAnsi="Times New Roman" w:cs="Times New Roman"/>
          <w:b/>
        </w:rPr>
        <w:t>Kiti vaistai ir Maalox</w:t>
      </w:r>
    </w:p>
    <w:p w:rsidR="009027D7" w:rsidRDefault="009027D7" w:rsidP="009027D7">
      <w:pPr>
        <w:spacing w:after="0" w:line="240" w:lineRule="auto"/>
      </w:pPr>
      <w:r>
        <w:rPr>
          <w:rFonts w:ascii="Times New Roman" w:eastAsia="Calibri" w:hAnsi="Times New Roman" w:cs="Times New Roman"/>
        </w:rPr>
        <w:t>Jeigu vartojate ar neseniai vartojote kitų vaistų arba dėl to nesate tikri, apie tai pasakykite gydytojui arba vaistininkui.</w:t>
      </w:r>
    </w:p>
    <w:p w:rsidR="009027D7" w:rsidRDefault="009027D7" w:rsidP="009027D7">
      <w:pPr>
        <w:spacing w:after="0" w:line="240" w:lineRule="auto"/>
        <w:jc w:val="both"/>
        <w:rPr>
          <w:rFonts w:ascii="Times New Roman" w:eastAsia="Calibri" w:hAnsi="Times New Roman" w:cs="Times New Roman"/>
        </w:rPr>
      </w:pPr>
    </w:p>
    <w:p w:rsidR="009027D7" w:rsidRDefault="009027D7" w:rsidP="009027D7">
      <w:pPr>
        <w:pBdr>
          <w:top w:val="single" w:sz="4" w:space="1" w:color="000000"/>
          <w:left w:val="single" w:sz="4" w:space="0" w:color="000000"/>
          <w:bottom w:val="single" w:sz="4" w:space="1" w:color="000000"/>
          <w:right w:val="single" w:sz="4" w:space="4" w:color="000000"/>
        </w:pBdr>
        <w:spacing w:after="0" w:line="240" w:lineRule="auto"/>
        <w:jc w:val="both"/>
        <w:rPr>
          <w:rFonts w:ascii="Times New Roman" w:eastAsia="Calibri" w:hAnsi="Times New Roman" w:cs="Times New Roman"/>
        </w:rPr>
      </w:pPr>
      <w:r>
        <w:rPr>
          <w:rFonts w:ascii="Times New Roman" w:eastAsia="Calibri" w:hAnsi="Times New Roman" w:cs="Times New Roman"/>
        </w:rPr>
        <w:t>Maalox ir kai kurių kitų vaistų sudėtyje yra skrandžio rūgštį neutralizuojančių medžiagų – aliuminio hidroksido ir magnio hidroksido. Norint išvengti perdozavimo, tokių vaistų negalima vartoti kartu.</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Jeigu vartojate ar neseniai vartojote bet kurį iš toliau išvardytų vaistų arba dėl to nesate tikri, apie tai pasakykite gydytojui arba vaistininkui, nes Maalox gali keisti kai kurių vaistų poveikį arba jie − Maalox poveikį. Ypač svarbu pasakyti apie:</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nuo širdies ligų, tokius kaip digoksinas, chinidinas, metoprololis, atenololis ir propranololis;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mažakraujystei gydyti, tokius kaip geležies druskos;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skrandžio opoms ir padidėjusiam rūgštingumui gydyti, tokius kaip ranitidinas ar cimetidinas (H</w:t>
      </w:r>
      <w:r>
        <w:rPr>
          <w:rFonts w:ascii="Times New Roman" w:eastAsia="Times New Roman" w:hAnsi="Times New Roman" w:cs="Times New Roman"/>
          <w:vertAlign w:val="subscript"/>
        </w:rPr>
        <w:t>2</w:t>
      </w:r>
      <w:r>
        <w:rPr>
          <w:rFonts w:ascii="Times New Roman" w:eastAsia="Times New Roman" w:hAnsi="Times New Roman" w:cs="Times New Roman"/>
        </w:rPr>
        <w:t xml:space="preserve"> antagonistai);</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maliarijai gydyti, tokius kaip chlorokvinas;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tam tikriems kaulų sutrikimams gydyti, tokius kaip bisfosfonatai;</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tam tikroms alerginėms, uždegiminėms ar nenormalioms imuninėms reakcijoms gydyti, tokius kaip gliukokortikoidai;</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inkstų sutrikimams gydyti, tokius kaip citratai;</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tuberkuliozei gydyti, tokius kaip etambutolis, izoniazidas;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infekcijoms gydyti, tokius kaip fluorochinolonai, linkozamidai, ketokonazolas, ciklinai, cefalosporinai (cefpodoksimas ir cefdiniras), dolutegraviras, elvitegraviras, raltegraviro kalio druska, antivirusinis sudėtinis vaistas tenofoviro alafenamido fumaratas/emtricitabinas/biktegraviro natrio druska, rilpivirinas;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psichikos ligoms (psichozėms) gydyti, tokius kaip fenotiazinai, neuroleptikai;</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padidėjusiam kalio kiekiui organizme gydyti, tokius kaip polistireno sulfonatas;</w:t>
      </w:r>
    </w:p>
    <w:p w:rsidR="009027D7" w:rsidRDefault="009027D7" w:rsidP="009027D7">
      <w:pPr>
        <w:numPr>
          <w:ilvl w:val="1"/>
          <w:numId w:val="10"/>
        </w:numPr>
        <w:spacing w:after="0" w:line="240" w:lineRule="auto"/>
      </w:pPr>
      <w:r>
        <w:rPr>
          <w:rFonts w:ascii="Times New Roman" w:eastAsia="Times New Roman" w:hAnsi="Times New Roman" w:cs="Times New Roman"/>
        </w:rPr>
        <w:t>vaistus, vartojamus skausmui malšinti, tokius kaip diflunisalis, indometacinas;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dantų priežiūrai vartojamus vaistus, tokius kaip natrio fluoruras;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esant susilpnėjusiai skydliaukės veiklai, tokius kaip levotiroksinas;</w:t>
      </w:r>
    </w:p>
    <w:p w:rsidR="009027D7" w:rsidRDefault="009027D7" w:rsidP="009027D7">
      <w:pPr>
        <w:numPr>
          <w:ilvl w:val="1"/>
          <w:numId w:val="10"/>
        </w:numPr>
        <w:tabs>
          <w:tab w:val="left" w:pos="9072"/>
        </w:tabs>
        <w:spacing w:after="0" w:line="240" w:lineRule="auto"/>
        <w:ind w:right="-48"/>
      </w:pPr>
      <w:r>
        <w:rPr>
          <w:rFonts w:ascii="Times New Roman" w:eastAsia="Times New Roman" w:hAnsi="Times New Roman" w:cs="Times New Roman"/>
        </w:rPr>
        <w:t>vaistus, vartojamus esant sąnarių skausmams ir organizme vykstant nenormalioms cheminėms reakcijoms, tokius kaip penicilaminas;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cholesterolio kiekiui mažinti, tokius kaip rozuvastatinas;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vėžiui gydyti, tokius kaip nilotinibas, dazatinibo monohidratas;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kraujo sutrikimams gydyti, tokius kaip eltrombopago olaminas;</w:t>
      </w:r>
    </w:p>
    <w:p w:rsidR="009027D7" w:rsidRDefault="009027D7" w:rsidP="009027D7">
      <w:pPr>
        <w:numPr>
          <w:ilvl w:val="1"/>
          <w:numId w:val="10"/>
        </w:numPr>
        <w:tabs>
          <w:tab w:val="left" w:pos="9072"/>
        </w:tabs>
        <w:spacing w:after="0" w:line="240" w:lineRule="auto"/>
        <w:ind w:right="-48"/>
        <w:rPr>
          <w:rFonts w:ascii="Times New Roman" w:eastAsia="Times New Roman" w:hAnsi="Times New Roman" w:cs="Times New Roman"/>
        </w:rPr>
      </w:pPr>
      <w:r>
        <w:rPr>
          <w:rFonts w:ascii="Times New Roman" w:eastAsia="Times New Roman" w:hAnsi="Times New Roman" w:cs="Times New Roman"/>
        </w:rPr>
        <w:t>vaistus, vartojamus dideliam kraujospūdžiui plaučiuose (plautinei hipertenzijai) gydyti, tokius kaip riociguatas.</w:t>
      </w:r>
    </w:p>
    <w:p w:rsidR="009027D7" w:rsidRDefault="009027D7" w:rsidP="009027D7">
      <w:pPr>
        <w:spacing w:after="0" w:line="240" w:lineRule="auto"/>
        <w:rPr>
          <w:rFonts w:ascii="Times New Roman" w:eastAsia="Times New Roman" w:hAnsi="Times New Roman" w:cs="Times New Roman"/>
        </w:rPr>
      </w:pPr>
    </w:p>
    <w:p w:rsidR="009027D7" w:rsidRDefault="009027D7" w:rsidP="009027D7">
      <w:pPr>
        <w:spacing w:after="0" w:line="240" w:lineRule="auto"/>
        <w:rPr>
          <w:rFonts w:ascii="Times New Roman" w:eastAsia="Times New Roman" w:hAnsi="Times New Roman" w:cs="Times New Roman"/>
          <w:b/>
          <w:bCs/>
          <w:i/>
          <w:iCs/>
        </w:rPr>
      </w:pPr>
      <w:r>
        <w:rPr>
          <w:rFonts w:ascii="Times New Roman" w:eastAsia="Times New Roman" w:hAnsi="Times New Roman" w:cs="Times New Roman"/>
          <w:b/>
          <w:bCs/>
          <w:i/>
          <w:iCs/>
        </w:rPr>
        <w:t>Atsargumo dėlei tarp bet kokio per burną vartojamo vaisto ir antacidinio vaisto vartojimo turi būti bent 2 valandų (vartojant fluorochinolonų – 4 valandų) intervalas.</w:t>
      </w:r>
    </w:p>
    <w:p w:rsidR="009027D7" w:rsidRDefault="009027D7" w:rsidP="009027D7">
      <w:pPr>
        <w:spacing w:after="0" w:line="240" w:lineRule="auto"/>
        <w:contextualSpacing/>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bCs/>
        </w:rPr>
      </w:pPr>
      <w:r>
        <w:rPr>
          <w:rFonts w:ascii="Times New Roman" w:eastAsia="Calibri" w:hAnsi="Times New Roman" w:cs="Times New Roman"/>
          <w:b/>
          <w:bCs/>
        </w:rPr>
        <w:t>Nėštumas, žindymo laikotarpis ir vaisingumas</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Nėščioms moterims Maalox geriamosios suspensijos vartoti nepatartina.</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Žindyvėms Maalox geriamąją suspensiją galima vartoti tik pasitarus su gydytoju.</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bCs/>
        </w:rPr>
      </w:pPr>
      <w:r>
        <w:rPr>
          <w:rFonts w:ascii="Times New Roman" w:eastAsia="Calibri" w:hAnsi="Times New Roman" w:cs="Times New Roman"/>
          <w:b/>
          <w:bCs/>
        </w:rPr>
        <w:t>Vairavimas ir mechanizmų valdymas</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Duomenys neaktualūs.</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rPr>
      </w:pPr>
      <w:r>
        <w:rPr>
          <w:rFonts w:ascii="Times New Roman" w:eastAsia="Calibri" w:hAnsi="Times New Roman" w:cs="Times New Roman"/>
          <w:b/>
        </w:rPr>
        <w:t>Maalox sudėtyje yra sorbitolio (E420)</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Jeigu gydytojas Jums yra sakęs, kad netoleruojate kokių nors angliavandenių, kreipkitės į jį prieš pradėdami vartoti šį vaistą.</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p>
    <w:p w:rsidR="009027D7" w:rsidRDefault="009027D7" w:rsidP="009027D7">
      <w:pPr>
        <w:keepNext/>
        <w:tabs>
          <w:tab w:val="left" w:pos="567"/>
        </w:tabs>
        <w:spacing w:after="0" w:line="240" w:lineRule="auto"/>
        <w:ind w:left="567" w:hanging="567"/>
        <w:outlineLvl w:val="1"/>
        <w:rPr>
          <w:rFonts w:ascii="Times New Roman" w:eastAsia="Calibri" w:hAnsi="Times New Roman" w:cs="Times New Roman"/>
          <w:b/>
        </w:rPr>
      </w:pPr>
      <w:r>
        <w:rPr>
          <w:rFonts w:ascii="Times New Roman" w:eastAsia="Calibri" w:hAnsi="Times New Roman" w:cs="Times New Roman"/>
          <w:b/>
        </w:rPr>
        <w:t>3.</w:t>
      </w:r>
      <w:r>
        <w:rPr>
          <w:rFonts w:ascii="Times New Roman" w:eastAsia="Calibri" w:hAnsi="Times New Roman" w:cs="Times New Roman"/>
          <w:b/>
        </w:rPr>
        <w:tab/>
        <w:t>Kaip vartoti Maalox</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 xml:space="preserve">Visada vartokite šį vaistą tiksliai kaip </w:t>
      </w:r>
      <w:r>
        <w:rPr>
          <w:rFonts w:ascii="Times New Roman" w:eastAsia="Times New Roman" w:hAnsi="Times New Roman" w:cs="Times New Roman"/>
          <w:szCs w:val="24"/>
        </w:rPr>
        <w:t xml:space="preserve">aprašyta šiame lapelyje arba kaip </w:t>
      </w:r>
      <w:r>
        <w:rPr>
          <w:rFonts w:ascii="Times New Roman" w:eastAsia="Calibri" w:hAnsi="Times New Roman" w:cs="Times New Roman"/>
        </w:rPr>
        <w:t>nurodė gydytojas arba vaistininkas. Jeigu abejojate, kreipkitės į gydytoją arba vaistininką.</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Šis vaistas yra geriamas. Jis skirtas tik vyresniems kaip 15 metų žmonėms.</w:t>
      </w:r>
      <w:bookmarkStart w:id="0" w:name="OLE_LINK7"/>
    </w:p>
    <w:p w:rsidR="009027D7" w:rsidRDefault="009027D7" w:rsidP="009027D7">
      <w:pPr>
        <w:spacing w:after="0" w:line="240" w:lineRule="auto"/>
        <w:jc w:val="both"/>
        <w:rPr>
          <w:rFonts w:ascii="Times New Roman" w:eastAsia="Calibri" w:hAnsi="Times New Roman" w:cs="Times New Roman"/>
        </w:rPr>
      </w:pPr>
      <w:r>
        <w:rPr>
          <w:rFonts w:ascii="Times New Roman" w:eastAsia="Calibri" w:hAnsi="Times New Roman" w:cs="Times New Roman"/>
        </w:rPr>
        <w:t>Geriama po vieną valgomąjį šaukštą (15 ml) geriamosios suspensijos pasireiškus rėmeniui arba skrandžio turinio refliuksui į stemplę.</w:t>
      </w:r>
    </w:p>
    <w:p w:rsidR="009027D7" w:rsidRDefault="009027D7" w:rsidP="009027D7">
      <w:pPr>
        <w:spacing w:after="0" w:line="240" w:lineRule="auto"/>
        <w:jc w:val="both"/>
        <w:rPr>
          <w:rFonts w:ascii="Times New Roman" w:eastAsia="Calibri" w:hAnsi="Times New Roman" w:cs="Times New Roman"/>
        </w:rPr>
      </w:pPr>
      <w:r>
        <w:rPr>
          <w:rFonts w:ascii="Times New Roman" w:eastAsia="Calibri" w:hAnsi="Times New Roman" w:cs="Times New Roman"/>
        </w:rPr>
        <w:t>Negalima gerti daugiau kaip 6 valgomųjų šaukštų (90 ml) geriamosios suspensijos per par</w:t>
      </w:r>
      <w:bookmarkEnd w:id="0"/>
      <w:r>
        <w:rPr>
          <w:rFonts w:ascii="Times New Roman" w:eastAsia="Calibri" w:hAnsi="Times New Roman" w:cs="Times New Roman"/>
        </w:rPr>
        <w:t>ą.</w:t>
      </w:r>
    </w:p>
    <w:p w:rsidR="009027D7" w:rsidRDefault="009027D7" w:rsidP="009027D7">
      <w:pPr>
        <w:spacing w:after="0" w:line="240" w:lineRule="auto"/>
        <w:rPr>
          <w:rFonts w:ascii="Times New Roman" w:eastAsia="Calibri" w:hAnsi="Times New Roman" w:cs="Times New Roman"/>
        </w:rPr>
      </w:pPr>
    </w:p>
    <w:p w:rsidR="009027D7" w:rsidRDefault="009027D7" w:rsidP="009027D7">
      <w:pPr>
        <w:pBdr>
          <w:top w:val="single" w:sz="4" w:space="1" w:color="000000"/>
          <w:left w:val="single" w:sz="4" w:space="0" w:color="000000"/>
          <w:bottom w:val="single" w:sz="4" w:space="1" w:color="000000"/>
          <w:right w:val="single" w:sz="4" w:space="0" w:color="000000"/>
        </w:pBdr>
        <w:spacing w:after="0" w:line="240" w:lineRule="auto"/>
        <w:rPr>
          <w:rFonts w:ascii="Times New Roman" w:eastAsia="Calibri" w:hAnsi="Times New Roman" w:cs="Times New Roman"/>
        </w:rPr>
      </w:pPr>
      <w:r>
        <w:rPr>
          <w:rFonts w:ascii="Times New Roman" w:eastAsia="Calibri" w:hAnsi="Times New Roman" w:cs="Times New Roman"/>
        </w:rPr>
        <w:t>Šio vaisto negalima vartoti ilgiau kaip 10 dienų.</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bCs/>
        </w:rPr>
      </w:pPr>
      <w:r>
        <w:rPr>
          <w:rFonts w:ascii="Times New Roman" w:eastAsia="Calibri" w:hAnsi="Times New Roman" w:cs="Times New Roman"/>
          <w:b/>
          <w:bCs/>
        </w:rPr>
        <w:t>Ką daryti pavartojus per didelę Maalox dozę?</w:t>
      </w:r>
    </w:p>
    <w:p w:rsidR="009027D7" w:rsidRDefault="009027D7" w:rsidP="009027D7">
      <w:pPr>
        <w:spacing w:after="0" w:line="220" w:lineRule="exact"/>
        <w:rPr>
          <w:rFonts w:ascii="Times New Roman" w:eastAsia="Calibri" w:hAnsi="Times New Roman" w:cs="Times New Roman"/>
          <w:bCs/>
        </w:rPr>
      </w:pPr>
      <w:r>
        <w:rPr>
          <w:rFonts w:ascii="Times New Roman" w:eastAsia="Calibri" w:hAnsi="Times New Roman" w:cs="Times New Roman"/>
          <w:bCs/>
        </w:rPr>
        <w:t>Pavartojus per didelę Maalox dozę, nedelsiant kreipkitės į gydytoją.</w:t>
      </w:r>
    </w:p>
    <w:p w:rsidR="009027D7" w:rsidRDefault="009027D7" w:rsidP="009027D7">
      <w:pPr>
        <w:spacing w:after="0" w:line="240" w:lineRule="auto"/>
        <w:rPr>
          <w:rFonts w:ascii="Times New Roman" w:eastAsia="Calibri" w:hAnsi="Times New Roman" w:cs="Times New Roman"/>
          <w:b/>
          <w:bCs/>
        </w:rPr>
      </w:pPr>
    </w:p>
    <w:p w:rsidR="009027D7" w:rsidRDefault="009027D7" w:rsidP="009027D7">
      <w:pPr>
        <w:spacing w:after="0" w:line="240" w:lineRule="auto"/>
        <w:rPr>
          <w:rFonts w:ascii="Times New Roman" w:eastAsia="Calibri" w:hAnsi="Times New Roman" w:cs="Times New Roman"/>
          <w:b/>
          <w:bCs/>
        </w:rPr>
      </w:pPr>
      <w:r>
        <w:rPr>
          <w:rFonts w:ascii="Times New Roman" w:eastAsia="Calibri" w:hAnsi="Times New Roman" w:cs="Times New Roman"/>
          <w:b/>
          <w:bCs/>
        </w:rPr>
        <w:t>Pamiršus pavartoti Maalox</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Dėl to nerimauti nereikėtų.</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Negalima vartoti dvigubos dozės norint kompensuoti praleistą dozę.</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Jeigu kiltų daugiau klausimų dėl šio vaisto vartojimo, kreipkitės į gydytoją arba vaistininką.</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p>
    <w:p w:rsidR="009027D7" w:rsidRDefault="009027D7" w:rsidP="009027D7">
      <w:pPr>
        <w:keepNext/>
        <w:tabs>
          <w:tab w:val="left" w:pos="567"/>
        </w:tabs>
        <w:spacing w:after="0" w:line="240" w:lineRule="auto"/>
        <w:ind w:left="567" w:hanging="567"/>
        <w:outlineLvl w:val="1"/>
        <w:rPr>
          <w:rFonts w:ascii="Times New Roman" w:eastAsia="Calibri" w:hAnsi="Times New Roman" w:cs="Times New Roman"/>
          <w:b/>
        </w:rPr>
      </w:pPr>
      <w:r>
        <w:rPr>
          <w:rFonts w:ascii="Times New Roman" w:eastAsia="Calibri" w:hAnsi="Times New Roman" w:cs="Times New Roman"/>
          <w:b/>
        </w:rPr>
        <w:t>4.</w:t>
      </w:r>
      <w:r>
        <w:rPr>
          <w:rFonts w:ascii="Times New Roman" w:eastAsia="Calibri" w:hAnsi="Times New Roman" w:cs="Times New Roman"/>
          <w:b/>
        </w:rPr>
        <w:tab/>
        <w:t>Galimas šalutinis poveikis</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Šis vaistas, kaip ir visi kiti, gali sukelti šalutinį poveikį, nors jis pasireiškia ne visiems žmonėms.</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Cs/>
        </w:rPr>
      </w:pPr>
      <w:r>
        <w:rPr>
          <w:rFonts w:ascii="Times New Roman" w:eastAsia="Calibri" w:hAnsi="Times New Roman" w:cs="Times New Roman"/>
          <w:bCs/>
        </w:rPr>
        <w:t>Gauta pranešimų apie toliau išvardytą šalutinį poveikį.</w:t>
      </w:r>
    </w:p>
    <w:p w:rsidR="009027D7" w:rsidRDefault="009027D7" w:rsidP="009027D7">
      <w:pPr>
        <w:spacing w:after="0" w:line="240" w:lineRule="auto"/>
        <w:rPr>
          <w:rFonts w:ascii="Times New Roman" w:eastAsia="Calibri" w:hAnsi="Times New Roman" w:cs="Times New Roman"/>
          <w:bCs/>
        </w:rPr>
      </w:pPr>
      <w:r>
        <w:rPr>
          <w:rFonts w:ascii="Times New Roman" w:eastAsia="Calibri" w:hAnsi="Times New Roman" w:cs="Times New Roman"/>
          <w:bCs/>
        </w:rPr>
        <w:t>Nedažnas:</w:t>
      </w:r>
    </w:p>
    <w:p w:rsidR="009027D7" w:rsidRDefault="009027D7" w:rsidP="009027D7">
      <w:pPr>
        <w:numPr>
          <w:ilvl w:val="0"/>
          <w:numId w:val="9"/>
        </w:numPr>
        <w:spacing w:after="0" w:line="240" w:lineRule="auto"/>
        <w:contextualSpacing/>
        <w:rPr>
          <w:rFonts w:ascii="Times New Roman" w:eastAsia="Calibri" w:hAnsi="Times New Roman" w:cs="Times New Roman"/>
          <w:bCs/>
        </w:rPr>
      </w:pPr>
      <w:r>
        <w:rPr>
          <w:rFonts w:ascii="Times New Roman" w:eastAsia="Calibri" w:hAnsi="Times New Roman" w:cs="Times New Roman"/>
          <w:bCs/>
        </w:rPr>
        <w:t>viduriavimas arba vidurių užkietėjimas.</w:t>
      </w:r>
    </w:p>
    <w:p w:rsidR="009027D7" w:rsidRDefault="009027D7" w:rsidP="009027D7">
      <w:pPr>
        <w:spacing w:after="0" w:line="240" w:lineRule="auto"/>
        <w:rPr>
          <w:rFonts w:ascii="Times New Roman" w:eastAsia="Calibri" w:hAnsi="Times New Roman" w:cs="Times New Roman"/>
          <w:bCs/>
        </w:rPr>
      </w:pPr>
    </w:p>
    <w:p w:rsidR="009027D7" w:rsidRDefault="009027D7" w:rsidP="009027D7">
      <w:pPr>
        <w:spacing w:after="0" w:line="240" w:lineRule="auto"/>
        <w:rPr>
          <w:rFonts w:ascii="Times New Roman" w:eastAsia="Calibri" w:hAnsi="Times New Roman" w:cs="Times New Roman"/>
          <w:bCs/>
        </w:rPr>
      </w:pPr>
      <w:r>
        <w:rPr>
          <w:rFonts w:ascii="Times New Roman" w:eastAsia="Calibri" w:hAnsi="Times New Roman" w:cs="Times New Roman"/>
          <w:bCs/>
        </w:rPr>
        <w:t>Labai retas:</w:t>
      </w:r>
    </w:p>
    <w:p w:rsidR="009027D7" w:rsidRDefault="009027D7" w:rsidP="009027D7">
      <w:pPr>
        <w:numPr>
          <w:ilvl w:val="0"/>
          <w:numId w:val="4"/>
        </w:numPr>
        <w:spacing w:after="0" w:line="240" w:lineRule="auto"/>
        <w:ind w:left="567" w:hanging="567"/>
        <w:contextualSpacing/>
        <w:rPr>
          <w:rFonts w:ascii="Times New Roman" w:eastAsia="Calibri" w:hAnsi="Times New Roman" w:cs="Times New Roman"/>
          <w:bCs/>
        </w:rPr>
      </w:pPr>
      <w:r>
        <w:rPr>
          <w:rFonts w:ascii="Times New Roman" w:eastAsia="Calibri" w:hAnsi="Times New Roman" w:cs="Times New Roman"/>
          <w:bCs/>
        </w:rPr>
        <w:t>hipermagnezemija (magnio perteklius kraujyje). Nustatyta po ilgalaikio vartojimo pacientams, kurių inkstų funkcija sutrikusi.</w:t>
      </w:r>
    </w:p>
    <w:p w:rsidR="009027D7" w:rsidRDefault="009027D7" w:rsidP="009027D7">
      <w:pPr>
        <w:spacing w:after="0" w:line="240" w:lineRule="auto"/>
        <w:rPr>
          <w:rFonts w:ascii="Times New Roman" w:eastAsia="Calibri" w:hAnsi="Times New Roman" w:cs="Times New Roman"/>
          <w:bCs/>
        </w:rPr>
      </w:pPr>
    </w:p>
    <w:p w:rsidR="009027D7" w:rsidRDefault="009027D7" w:rsidP="009027D7">
      <w:pPr>
        <w:spacing w:after="0" w:line="240" w:lineRule="auto"/>
        <w:rPr>
          <w:rFonts w:ascii="Times New Roman" w:eastAsia="Calibri" w:hAnsi="Times New Roman" w:cs="Times New Roman"/>
          <w:bCs/>
        </w:rPr>
      </w:pPr>
      <w:r>
        <w:rPr>
          <w:rFonts w:ascii="Times New Roman" w:eastAsia="Calibri" w:hAnsi="Times New Roman" w:cs="Times New Roman"/>
          <w:bCs/>
        </w:rPr>
        <w:t>Dažnis nežinomas:</w:t>
      </w:r>
    </w:p>
    <w:p w:rsidR="009027D7" w:rsidRDefault="009027D7" w:rsidP="009027D7">
      <w:pPr>
        <w:numPr>
          <w:ilvl w:val="0"/>
          <w:numId w:val="2"/>
        </w:numPr>
        <w:spacing w:after="0" w:line="240" w:lineRule="auto"/>
        <w:ind w:left="567" w:hanging="567"/>
        <w:rPr>
          <w:rFonts w:ascii="Times New Roman" w:eastAsia="Calibri" w:hAnsi="Times New Roman" w:cs="Times New Roman"/>
          <w:bCs/>
        </w:rPr>
      </w:pPr>
      <w:r>
        <w:rPr>
          <w:rFonts w:ascii="Times New Roman" w:eastAsia="Calibri" w:hAnsi="Times New Roman" w:cs="Times New Roman"/>
          <w:bCs/>
        </w:rPr>
        <w:t>padidėjusio jautrumo reakcijos, pavyzdžiui: niežėjimas, dilgėlinė, angioneurozinė edema (staigus tinimas) ir anafilaksinės reakcijos;</w:t>
      </w:r>
    </w:p>
    <w:p w:rsidR="009027D7" w:rsidRDefault="009027D7" w:rsidP="009027D7">
      <w:pPr>
        <w:numPr>
          <w:ilvl w:val="0"/>
          <w:numId w:val="3"/>
        </w:numPr>
        <w:spacing w:after="0" w:line="240" w:lineRule="auto"/>
        <w:rPr>
          <w:rFonts w:ascii="Times New Roman" w:eastAsia="Calibri" w:hAnsi="Times New Roman" w:cs="Times New Roman"/>
          <w:bCs/>
        </w:rPr>
      </w:pPr>
      <w:r>
        <w:rPr>
          <w:rFonts w:ascii="Times New Roman" w:eastAsia="Calibri" w:hAnsi="Times New Roman" w:cs="Times New Roman"/>
          <w:bCs/>
        </w:rPr>
        <w:t>hiperaliuminemija (aliuminio perteklius kraujyje);</w:t>
      </w:r>
    </w:p>
    <w:p w:rsidR="009027D7" w:rsidRDefault="009027D7" w:rsidP="009027D7">
      <w:pPr>
        <w:numPr>
          <w:ilvl w:val="0"/>
          <w:numId w:val="3"/>
        </w:numPr>
        <w:spacing w:after="0" w:line="240" w:lineRule="auto"/>
        <w:rPr>
          <w:rFonts w:ascii="Times New Roman" w:eastAsia="Calibri" w:hAnsi="Times New Roman" w:cs="Times New Roman"/>
          <w:bCs/>
        </w:rPr>
      </w:pPr>
      <w:r>
        <w:rPr>
          <w:rFonts w:ascii="Times New Roman" w:eastAsia="Calibri" w:hAnsi="Times New Roman" w:cs="Times New Roman"/>
          <w:bCs/>
        </w:rPr>
        <w:t>hipofosfatemija (fosforo koncentracijos kraujyje sumažėjimas). Dėl to padidėja kaulų rezorbcija, pasireiškia hiperkalciurija (didelis kalcio kiekis šlapime) ir osteomaliacija (kaulų suminkštėjimas);</w:t>
      </w:r>
    </w:p>
    <w:p w:rsidR="009027D7" w:rsidRDefault="009027D7" w:rsidP="009027D7">
      <w:pPr>
        <w:numPr>
          <w:ilvl w:val="0"/>
          <w:numId w:val="3"/>
        </w:numPr>
        <w:spacing w:after="0" w:line="240" w:lineRule="auto"/>
        <w:rPr>
          <w:rFonts w:ascii="Times New Roman" w:eastAsia="Calibri" w:hAnsi="Times New Roman" w:cs="Times New Roman"/>
          <w:bCs/>
        </w:rPr>
      </w:pPr>
      <w:r>
        <w:rPr>
          <w:rFonts w:ascii="Times New Roman" w:eastAsia="Calibri" w:hAnsi="Times New Roman" w:cs="Times New Roman"/>
          <w:bCs/>
        </w:rPr>
        <w:t>pilvo skausmas.</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Pranešimas apie šalutinį poveikį</w:t>
      </w:r>
    </w:p>
    <w:p w:rsidR="009027D7" w:rsidRDefault="009027D7" w:rsidP="009027D7">
      <w:pPr>
        <w:spacing w:after="0" w:line="240" w:lineRule="auto"/>
      </w:pPr>
      <w:r>
        <w:rPr>
          <w:rFonts w:ascii="Times New Roman" w:eastAsia="Times New Roman" w:hAnsi="Times New Roman" w:cs="Times New Roman"/>
          <w:bCs/>
        </w:rPr>
        <w:t xml:space="preserve">Jeigu pasireiškė šalutinis poveikis, įskaitant šiame lapelyje nenurodytą, pasakykite gydytojui arba vaistininkui. </w:t>
      </w:r>
      <w:r>
        <w:rPr>
          <w:rFonts w:ascii="Times New Roman" w:eastAsia="Calibri" w:hAnsi="Times New Roman" w:cs="Times New Roman"/>
        </w:rPr>
        <w:t>Apie šalutinį poveikį taip pat galite pranešti Valstybinei vaistų kontrolės tarnybai prie Lietuvos Respublikos sveikatos apsaugos ministerijos nemokamu t</w:t>
      </w:r>
      <w:r>
        <w:rPr>
          <w:rFonts w:ascii="Times New Roman" w:eastAsia="Calibri" w:hAnsi="Times New Roman" w:cs="Times New Roman"/>
          <w:lang w:eastAsia="zh-CN"/>
        </w:rPr>
        <w:t>elefonu 8 800 73568</w:t>
      </w:r>
      <w:r>
        <w:rPr>
          <w:rFonts w:ascii="Times New Roman" w:eastAsia="Calibri" w:hAnsi="Times New Roman" w:cs="Times New Roman"/>
        </w:rPr>
        <w:t xml:space="preserve"> arba užpildyti interneto svetainėje </w:t>
      </w:r>
      <w:hyperlink r:id="rId5">
        <w:r>
          <w:rPr>
            <w:rFonts w:ascii="Times New Roman" w:eastAsia="SimSun" w:hAnsi="Times New Roman" w:cs="Times New Roman"/>
            <w:color w:val="0000FF"/>
            <w:u w:val="single"/>
          </w:rPr>
          <w:t>www.vvkt.lt</w:t>
        </w:r>
      </w:hyperlink>
      <w:r>
        <w:rPr>
          <w:rFonts w:ascii="Times New Roman" w:eastAsia="Calibri"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Calibri" w:hAnsi="Times New Roman" w:cs="Times New Roman"/>
          <w:lang w:eastAsia="zh-CN"/>
        </w:rPr>
        <w:t xml:space="preserve">nemokamu </w:t>
      </w:r>
      <w:r>
        <w:rPr>
          <w:rFonts w:ascii="Times New Roman" w:eastAsia="Calibri" w:hAnsi="Times New Roman" w:cs="Times New Roman"/>
        </w:rPr>
        <w:t>fakso numeriu 8 800 20131</w:t>
      </w:r>
      <w:r>
        <w:rPr>
          <w:rFonts w:ascii="Times New Roman" w:eastAsia="Calibri" w:hAnsi="Times New Roman" w:cs="Times New Roman"/>
          <w:lang w:eastAsia="zh-CN"/>
        </w:rPr>
        <w:t xml:space="preserve">, </w:t>
      </w:r>
      <w:r>
        <w:rPr>
          <w:rFonts w:ascii="Times New Roman" w:eastAsia="Calibri" w:hAnsi="Times New Roman" w:cs="Times New Roman"/>
        </w:rPr>
        <w:t xml:space="preserve">el. paštu </w:t>
      </w:r>
      <w:hyperlink r:id="rId6">
        <w:r>
          <w:rPr>
            <w:rFonts w:ascii="Times New Roman" w:eastAsia="SimSun" w:hAnsi="Times New Roman" w:cs="Times New Roman"/>
            <w:color w:val="0000FF"/>
            <w:u w:val="single"/>
          </w:rPr>
          <w:t>NepageidaujamaR@vvkt.lt</w:t>
        </w:r>
      </w:hyperlink>
      <w:r>
        <w:rPr>
          <w:rFonts w:ascii="Times New Roman" w:eastAsia="Calibri" w:hAnsi="Times New Roman" w:cs="Times New Roman"/>
        </w:rPr>
        <w:t xml:space="preserve">, taip pat per Valstybinės vaistų kontrolės tarnybos prie Lietuvos Respublikos sveikatos apsaugos ministerijos interneto svetainę (adresu </w:t>
      </w:r>
      <w:hyperlink r:id="rId7">
        <w:r>
          <w:rPr>
            <w:rFonts w:ascii="Times New Roman" w:eastAsia="SimSun" w:hAnsi="Times New Roman" w:cs="Times New Roman"/>
            <w:color w:val="0000FF"/>
            <w:u w:val="single"/>
          </w:rPr>
          <w:t>http://www.vvkt.lt</w:t>
        </w:r>
      </w:hyperlink>
      <w:r>
        <w:rPr>
          <w:rFonts w:ascii="Times New Roman" w:eastAsia="Calibri" w:hAnsi="Times New Roman" w:cs="Times New Roman"/>
        </w:rPr>
        <w:t>). Pranešdami apie šalutinį poveikį galite mums padėti gauti daugiau informacijos apie šio vaisto saugumą</w:t>
      </w:r>
      <w:r>
        <w:rPr>
          <w:rFonts w:ascii="Times New Roman" w:eastAsia="Times New Roman" w:hAnsi="Times New Roman" w:cs="Times New Roman"/>
          <w:szCs w:val="24"/>
        </w:rPr>
        <w:t>.</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p>
    <w:p w:rsidR="009027D7" w:rsidRDefault="009027D7" w:rsidP="009027D7">
      <w:pPr>
        <w:keepNext/>
        <w:tabs>
          <w:tab w:val="left" w:pos="567"/>
        </w:tabs>
        <w:spacing w:after="0" w:line="240" w:lineRule="auto"/>
        <w:ind w:left="567" w:hanging="567"/>
        <w:outlineLvl w:val="1"/>
        <w:rPr>
          <w:rFonts w:ascii="Times New Roman" w:eastAsia="Calibri" w:hAnsi="Times New Roman" w:cs="Times New Roman"/>
          <w:b/>
        </w:rPr>
      </w:pPr>
      <w:r>
        <w:rPr>
          <w:rFonts w:ascii="Times New Roman" w:eastAsia="Calibri" w:hAnsi="Times New Roman" w:cs="Times New Roman"/>
          <w:b/>
        </w:rPr>
        <w:t>5.</w:t>
      </w:r>
      <w:r>
        <w:rPr>
          <w:rFonts w:ascii="Times New Roman" w:eastAsia="Calibri" w:hAnsi="Times New Roman" w:cs="Times New Roman"/>
          <w:b/>
        </w:rPr>
        <w:tab/>
        <w:t>Kaip laikyti Maalox</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Šį vaistą laikykite vaikams nepastebimoje ir nepasiekiamoje vietoje.</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Laikyti ne aukštesnėje kaip 25 ºC temperatūroje.</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Pirmą kartą buteliuką atidarius, geriamąją suspensiją suvartoti per 6 mėnesius.</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Ant buteliuko etiketės ir dėžutės po „Tinka iki“ nurodytam tinkamumo laikui pasibaigus, šio vaisto vartoti negalima. Vaistas tinkamas vartoti iki paskutinės nurodyto mėnesio dienos.</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p>
    <w:p w:rsidR="009027D7" w:rsidRDefault="009027D7" w:rsidP="009027D7">
      <w:pPr>
        <w:keepNext/>
        <w:tabs>
          <w:tab w:val="left" w:pos="567"/>
        </w:tabs>
        <w:spacing w:after="0" w:line="240" w:lineRule="auto"/>
        <w:ind w:left="567" w:hanging="567"/>
        <w:outlineLvl w:val="1"/>
        <w:rPr>
          <w:rFonts w:ascii="Times New Roman" w:eastAsia="Calibri" w:hAnsi="Times New Roman" w:cs="Times New Roman"/>
          <w:b/>
        </w:rPr>
      </w:pPr>
      <w:r>
        <w:rPr>
          <w:rFonts w:ascii="Times New Roman" w:eastAsia="Calibri" w:hAnsi="Times New Roman" w:cs="Times New Roman"/>
          <w:b/>
        </w:rPr>
        <w:t>6.</w:t>
      </w:r>
      <w:r>
        <w:rPr>
          <w:rFonts w:ascii="Times New Roman" w:eastAsia="Calibri" w:hAnsi="Times New Roman" w:cs="Times New Roman"/>
          <w:b/>
        </w:rPr>
        <w:tab/>
        <w:t>Pakuotės turinys ir kita informacija</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bCs/>
        </w:rPr>
      </w:pPr>
      <w:r>
        <w:rPr>
          <w:rFonts w:ascii="Times New Roman" w:eastAsia="Calibri" w:hAnsi="Times New Roman" w:cs="Times New Roman"/>
          <w:b/>
          <w:bCs/>
        </w:rPr>
        <w:t>Maalox sudėtis</w:t>
      </w:r>
    </w:p>
    <w:p w:rsidR="009027D7" w:rsidRDefault="009027D7" w:rsidP="009027D7">
      <w:pPr>
        <w:spacing w:after="0" w:line="240" w:lineRule="auto"/>
        <w:rPr>
          <w:rFonts w:ascii="Times New Roman" w:eastAsia="Calibri" w:hAnsi="Times New Roman" w:cs="Times New Roman"/>
        </w:rPr>
      </w:pPr>
    </w:p>
    <w:p w:rsidR="009027D7" w:rsidRDefault="009027D7" w:rsidP="009027D7">
      <w:pPr>
        <w:numPr>
          <w:ilvl w:val="0"/>
          <w:numId w:val="7"/>
        </w:numPr>
        <w:spacing w:after="0" w:line="240" w:lineRule="auto"/>
        <w:rPr>
          <w:rFonts w:ascii="Times New Roman" w:eastAsia="Calibri" w:hAnsi="Times New Roman" w:cs="Times New Roman"/>
        </w:rPr>
      </w:pPr>
      <w:r>
        <w:rPr>
          <w:rFonts w:ascii="Times New Roman" w:eastAsia="Calibri" w:hAnsi="Times New Roman" w:cs="Times New Roman"/>
        </w:rPr>
        <w:t>Veikliosios medžiagos yra magnio hidroksidas ir aliuminio hidroksidas. 1 ml geriamosios suspensijos yra 40 mg magnio hidroksido ir 35 mg aliuminio hidroksido.</w:t>
      </w:r>
    </w:p>
    <w:p w:rsidR="009027D7" w:rsidRDefault="009027D7" w:rsidP="009027D7">
      <w:pPr>
        <w:numPr>
          <w:ilvl w:val="0"/>
          <w:numId w:val="7"/>
        </w:numPr>
        <w:spacing w:after="0" w:line="240" w:lineRule="auto"/>
        <w:rPr>
          <w:rFonts w:ascii="Times New Roman" w:eastAsia="Calibri" w:hAnsi="Times New Roman" w:cs="Times New Roman"/>
        </w:rPr>
      </w:pPr>
      <w:r>
        <w:rPr>
          <w:rFonts w:ascii="Times New Roman" w:eastAsia="Calibri" w:hAnsi="Times New Roman" w:cs="Times New Roman"/>
        </w:rPr>
        <w:t>Pagalbinės medžiagos yra koncentruota vandenilio chlorido rūgštis, citrinų rūgštis monohidratas, pipirmėčių eterinis aliejus, manitolis (E421), domifeno bromidas, sacharino natrio druska, skystasis sorbitolis (nesikristalizuojantis) (E420), vandenilio peroksido 30 % tirpalas ir išgrynintas vanduo.</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bCs/>
        </w:rPr>
      </w:pPr>
      <w:r>
        <w:rPr>
          <w:rFonts w:ascii="Times New Roman" w:eastAsia="Calibri" w:hAnsi="Times New Roman" w:cs="Times New Roman"/>
          <w:b/>
          <w:bCs/>
        </w:rPr>
        <w:t>Maalox išvaizda ir kiekis pakuotėje</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Geriamoji suspensija yra pieno pavidalo, baltas, saldaus skonio ir pipirmėčių kvapo skystis, homogeniškas suplakus.</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PET buteliuke, uždarytame polipropileno dangteliu, kuris užsandarintas polietileno plėvele yra 250 ml geriamosios suspensijos.</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Dėžutėje yra 1 buteliukas.</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bCs/>
        </w:rPr>
      </w:pPr>
      <w:r>
        <w:rPr>
          <w:rFonts w:ascii="Times New Roman" w:eastAsia="Calibri" w:hAnsi="Times New Roman" w:cs="Times New Roman"/>
          <w:b/>
          <w:bCs/>
        </w:rPr>
        <w:t>Registruotojas ir gamintojas</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rPr>
          <w:rFonts w:ascii="Times New Roman" w:eastAsia="Calibri" w:hAnsi="Times New Roman" w:cs="Times New Roman"/>
          <w:i/>
        </w:rPr>
      </w:pPr>
      <w:r>
        <w:rPr>
          <w:rFonts w:ascii="Times New Roman" w:eastAsia="Calibri" w:hAnsi="Times New Roman" w:cs="Times New Roman"/>
          <w:i/>
        </w:rPr>
        <w:t>Registruotojas</w:t>
      </w:r>
    </w:p>
    <w:p w:rsidR="009027D7" w:rsidRPr="004D313A" w:rsidRDefault="009027D7" w:rsidP="009027D7">
      <w:pPr>
        <w:spacing w:after="0" w:line="240" w:lineRule="auto"/>
        <w:rPr>
          <w:rFonts w:ascii="Times New Roman" w:hAnsi="Times New Roman" w:cs="Times New Roman"/>
        </w:rPr>
      </w:pPr>
      <w:r w:rsidRPr="004D313A">
        <w:rPr>
          <w:rFonts w:ascii="Times New Roman" w:hAnsi="Times New Roman" w:cs="Times New Roman"/>
        </w:rPr>
        <w:t>Opella Healthcare France SAS</w:t>
      </w:r>
    </w:p>
    <w:p w:rsidR="009027D7" w:rsidRPr="004D313A" w:rsidRDefault="009027D7" w:rsidP="009027D7">
      <w:pPr>
        <w:spacing w:after="0" w:line="240" w:lineRule="auto"/>
        <w:rPr>
          <w:rFonts w:ascii="Times New Roman" w:hAnsi="Times New Roman" w:cs="Times New Roman"/>
        </w:rPr>
      </w:pPr>
      <w:r w:rsidRPr="004D313A">
        <w:rPr>
          <w:rFonts w:ascii="Times New Roman" w:hAnsi="Times New Roman" w:cs="Times New Roman"/>
        </w:rPr>
        <w:t>82 Avenue Raspail</w:t>
      </w:r>
    </w:p>
    <w:p w:rsidR="009027D7" w:rsidRPr="004D313A" w:rsidRDefault="009027D7" w:rsidP="009027D7">
      <w:pPr>
        <w:spacing w:after="0" w:line="240" w:lineRule="auto"/>
        <w:rPr>
          <w:rFonts w:ascii="Times New Roman" w:hAnsi="Times New Roman" w:cs="Times New Roman"/>
        </w:rPr>
      </w:pPr>
      <w:r w:rsidRPr="004D313A">
        <w:rPr>
          <w:rFonts w:ascii="Times New Roman" w:hAnsi="Times New Roman" w:cs="Times New Roman"/>
        </w:rPr>
        <w:t>94250 Gentilly</w:t>
      </w:r>
    </w:p>
    <w:p w:rsidR="009027D7" w:rsidRPr="004D313A" w:rsidRDefault="009027D7" w:rsidP="009027D7">
      <w:pPr>
        <w:spacing w:after="0" w:line="240" w:lineRule="auto"/>
        <w:rPr>
          <w:rFonts w:ascii="Times New Roman" w:hAnsi="Times New Roman" w:cs="Times New Roman"/>
        </w:rPr>
      </w:pPr>
      <w:r w:rsidRPr="004D313A">
        <w:rPr>
          <w:rFonts w:ascii="Times New Roman" w:hAnsi="Times New Roman" w:cs="Times New Roman"/>
        </w:rPr>
        <w:t>Prancūzija</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rPr>
          <w:rFonts w:ascii="Times New Roman" w:eastAsia="Calibri" w:hAnsi="Times New Roman" w:cs="Times New Roman"/>
          <w:i/>
        </w:rPr>
      </w:pPr>
      <w:r>
        <w:rPr>
          <w:rFonts w:ascii="Times New Roman" w:eastAsia="Calibri" w:hAnsi="Times New Roman" w:cs="Times New Roman"/>
          <w:i/>
        </w:rPr>
        <w:t>Gamintojai</w:t>
      </w:r>
    </w:p>
    <w:p w:rsidR="009027D7" w:rsidRPr="008D160B" w:rsidRDefault="009027D7" w:rsidP="009027D7">
      <w:pPr>
        <w:spacing w:after="0"/>
        <w:rPr>
          <w:rFonts w:ascii="Times New Roman" w:eastAsia="Calibri" w:hAnsi="Times New Roman" w:cs="Times New Roman"/>
        </w:rPr>
      </w:pPr>
      <w:r w:rsidRPr="008D160B">
        <w:rPr>
          <w:rStyle w:val="normaltextrun"/>
          <w:rFonts w:ascii="Times New Roman" w:hAnsi="Times New Roman" w:cs="Times New Roman"/>
          <w:shd w:val="clear" w:color="auto" w:fill="FFFFFF"/>
        </w:rPr>
        <w:t>Opella Healthcare Italy S.r.l.</w:t>
      </w:r>
    </w:p>
    <w:p w:rsidR="009027D7" w:rsidRDefault="009027D7" w:rsidP="009027D7">
      <w:pPr>
        <w:spacing w:after="0"/>
        <w:rPr>
          <w:rFonts w:ascii="Times New Roman" w:eastAsia="Calibri" w:hAnsi="Times New Roman" w:cs="Times New Roman"/>
        </w:rPr>
      </w:pPr>
      <w:r>
        <w:rPr>
          <w:rFonts w:ascii="Times New Roman" w:eastAsia="Calibri" w:hAnsi="Times New Roman" w:cs="Times New Roman"/>
        </w:rPr>
        <w:t>Viale Europa 11</w:t>
      </w:r>
    </w:p>
    <w:p w:rsidR="009027D7" w:rsidRDefault="009027D7" w:rsidP="009027D7">
      <w:pPr>
        <w:spacing w:after="0"/>
        <w:rPr>
          <w:rFonts w:ascii="Times New Roman" w:eastAsia="Calibri" w:hAnsi="Times New Roman" w:cs="Times New Roman"/>
        </w:rPr>
      </w:pPr>
      <w:r>
        <w:rPr>
          <w:rFonts w:ascii="Times New Roman" w:eastAsia="Calibri" w:hAnsi="Times New Roman" w:cs="Times New Roman"/>
        </w:rPr>
        <w:t>21040 Origgio (VA)</w:t>
      </w:r>
    </w:p>
    <w:p w:rsidR="009027D7" w:rsidRDefault="009027D7" w:rsidP="009027D7">
      <w:pPr>
        <w:spacing w:after="0"/>
        <w:rPr>
          <w:rFonts w:ascii="Times New Roman" w:eastAsia="Calibri" w:hAnsi="Times New Roman" w:cs="Times New Roman"/>
        </w:rPr>
      </w:pPr>
      <w:bookmarkStart w:id="1" w:name="OLE_LINK2"/>
      <w:bookmarkStart w:id="2" w:name="OLE_LINK1"/>
      <w:r>
        <w:rPr>
          <w:rFonts w:ascii="Times New Roman" w:eastAsia="Calibri" w:hAnsi="Times New Roman" w:cs="Times New Roman"/>
        </w:rPr>
        <w:t>Italija</w:t>
      </w:r>
      <w:bookmarkEnd w:id="1"/>
      <w:bookmarkEnd w:id="2"/>
    </w:p>
    <w:p w:rsidR="009027D7" w:rsidRDefault="009027D7" w:rsidP="009027D7">
      <w:pPr>
        <w:spacing w:after="0"/>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arba</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A. Nattermann &amp; Cie. GmbH</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Nattermannallee 1</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50829 Cologne</w:t>
      </w:r>
    </w:p>
    <w:p w:rsidR="009027D7" w:rsidRDefault="009027D7" w:rsidP="009027D7">
      <w:pPr>
        <w:spacing w:after="0" w:line="240" w:lineRule="auto"/>
        <w:rPr>
          <w:rFonts w:ascii="Times New Roman" w:eastAsia="Calibri" w:hAnsi="Times New Roman" w:cs="Times New Roman"/>
        </w:rPr>
      </w:pPr>
      <w:r>
        <w:rPr>
          <w:rFonts w:ascii="Times New Roman" w:eastAsia="Calibri" w:hAnsi="Times New Roman" w:cs="Times New Roman"/>
        </w:rPr>
        <w:t>Vokietija</w:t>
      </w:r>
    </w:p>
    <w:p w:rsidR="009027D7" w:rsidRDefault="009027D7" w:rsidP="009027D7">
      <w:pPr>
        <w:spacing w:after="0" w:line="240" w:lineRule="auto"/>
        <w:rPr>
          <w:rFonts w:ascii="Times New Roman" w:eastAsia="Calibri" w:hAnsi="Times New Roman" w:cs="Times New Roman"/>
        </w:rPr>
      </w:pPr>
    </w:p>
    <w:p w:rsidR="009027D7" w:rsidRPr="004D313A" w:rsidRDefault="009027D7" w:rsidP="009027D7">
      <w:pPr>
        <w:spacing w:after="0" w:line="240" w:lineRule="auto"/>
        <w:rPr>
          <w:rFonts w:ascii="Times New Roman" w:hAnsi="Times New Roman" w:cs="Times New Roman"/>
        </w:rPr>
      </w:pPr>
      <w:r w:rsidRPr="004D313A">
        <w:rPr>
          <w:rFonts w:ascii="Times New Roman" w:hAnsi="Times New Roman" w:cs="Times New Roman"/>
        </w:rPr>
        <w:t>Jeigu apie šį vaistą norite sužinoti daugiau, kreipkitės į vietinį registruotojo atstovą:</w:t>
      </w:r>
    </w:p>
    <w:p w:rsidR="009027D7" w:rsidRDefault="009027D7" w:rsidP="009027D7">
      <w:pPr>
        <w:spacing w:after="0" w:line="240" w:lineRule="auto"/>
        <w:rPr>
          <w:rFonts w:ascii="Times New Roman" w:hAnsi="Times New Roman" w:cs="Times New Roman"/>
        </w:rPr>
      </w:pPr>
    </w:p>
    <w:p w:rsidR="009027D7" w:rsidRPr="004D313A" w:rsidRDefault="009027D7" w:rsidP="009027D7">
      <w:pPr>
        <w:spacing w:after="0" w:line="240" w:lineRule="auto"/>
        <w:rPr>
          <w:rFonts w:ascii="Times New Roman" w:hAnsi="Times New Roman" w:cs="Times New Roman"/>
        </w:rPr>
      </w:pPr>
      <w:r w:rsidRPr="004D313A">
        <w:rPr>
          <w:rFonts w:ascii="Times New Roman" w:hAnsi="Times New Roman" w:cs="Times New Roman"/>
        </w:rPr>
        <w:t>UAB „STADA Baltics“</w:t>
      </w:r>
    </w:p>
    <w:p w:rsidR="009027D7" w:rsidRPr="004D313A" w:rsidRDefault="009027D7" w:rsidP="009027D7">
      <w:pPr>
        <w:spacing w:after="0" w:line="240" w:lineRule="auto"/>
        <w:rPr>
          <w:rFonts w:ascii="Times New Roman" w:hAnsi="Times New Roman" w:cs="Times New Roman"/>
        </w:rPr>
      </w:pPr>
      <w:r w:rsidRPr="004D313A">
        <w:rPr>
          <w:rFonts w:ascii="Times New Roman" w:hAnsi="Times New Roman" w:cs="Times New Roman"/>
        </w:rPr>
        <w:t>A. Goštauto g. 40A</w:t>
      </w:r>
    </w:p>
    <w:p w:rsidR="009027D7" w:rsidRPr="004D313A" w:rsidRDefault="009027D7" w:rsidP="009027D7">
      <w:pPr>
        <w:spacing w:after="0" w:line="240" w:lineRule="auto"/>
        <w:rPr>
          <w:rFonts w:ascii="Times New Roman" w:hAnsi="Times New Roman" w:cs="Times New Roman"/>
        </w:rPr>
      </w:pPr>
      <w:r w:rsidRPr="004D313A">
        <w:rPr>
          <w:rFonts w:ascii="Times New Roman" w:hAnsi="Times New Roman" w:cs="Times New Roman"/>
        </w:rPr>
        <w:t>03163 Vilnius, Lietuva</w:t>
      </w:r>
    </w:p>
    <w:p w:rsidR="009027D7" w:rsidRPr="004D313A" w:rsidRDefault="009027D7" w:rsidP="009027D7">
      <w:pPr>
        <w:spacing w:after="0" w:line="240" w:lineRule="auto"/>
        <w:rPr>
          <w:rFonts w:ascii="Times New Roman" w:hAnsi="Times New Roman" w:cs="Times New Roman"/>
        </w:rPr>
      </w:pPr>
      <w:r w:rsidRPr="004D313A">
        <w:rPr>
          <w:rFonts w:ascii="Times New Roman" w:hAnsi="Times New Roman" w:cs="Times New Roman"/>
        </w:rPr>
        <w:t>Tel. +370 52603926</w:t>
      </w: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rPr>
      </w:pPr>
    </w:p>
    <w:p w:rsidR="009027D7" w:rsidRDefault="009027D7" w:rsidP="009027D7">
      <w:pPr>
        <w:spacing w:after="0" w:line="240" w:lineRule="auto"/>
        <w:rPr>
          <w:rFonts w:ascii="Times New Roman" w:eastAsia="Calibri" w:hAnsi="Times New Roman" w:cs="Times New Roman"/>
          <w:b/>
        </w:rPr>
      </w:pPr>
      <w:r>
        <w:rPr>
          <w:rFonts w:ascii="Times New Roman" w:eastAsia="Calibri" w:hAnsi="Times New Roman" w:cs="Times New Roman"/>
          <w:b/>
          <w:bCs/>
        </w:rPr>
        <w:t>Šis pakuotės lapelis</w:t>
      </w:r>
      <w:r>
        <w:rPr>
          <w:rFonts w:ascii="Times New Roman" w:eastAsia="Calibri" w:hAnsi="Times New Roman" w:cs="Times New Roman"/>
          <w:b/>
        </w:rPr>
        <w:t xml:space="preserve"> paskutinį kartą peržiūrėtas 2022-01-01.</w:t>
      </w:r>
    </w:p>
    <w:p w:rsidR="009027D7" w:rsidRDefault="009027D7" w:rsidP="009027D7">
      <w:pPr>
        <w:spacing w:after="0"/>
        <w:rPr>
          <w:rFonts w:ascii="Times New Roman" w:eastAsia="Calibri" w:hAnsi="Times New Roman" w:cs="Times New Roman"/>
        </w:rPr>
      </w:pPr>
    </w:p>
    <w:p w:rsidR="009027D7" w:rsidRDefault="009027D7" w:rsidP="009027D7">
      <w:pPr>
        <w:spacing w:after="0" w:line="240" w:lineRule="auto"/>
      </w:pPr>
      <w:r>
        <w:rPr>
          <w:rFonts w:ascii="Times New Roman" w:eastAsia="Times New Roman" w:hAnsi="Times New Roman" w:cs="Times New Roman"/>
          <w:szCs w:val="20"/>
        </w:rPr>
        <w:t xml:space="preserve">Išsami informacija apie šį </w:t>
      </w:r>
      <w:r>
        <w:rPr>
          <w:rFonts w:ascii="Times New Roman" w:eastAsia="Times New Roman" w:hAnsi="Times New Roman" w:cs="Times New Roman"/>
          <w:szCs w:val="24"/>
        </w:rPr>
        <w:t>vaistą</w:t>
      </w:r>
      <w:r>
        <w:rPr>
          <w:rFonts w:ascii="Times New Roman" w:eastAsia="Times New Roman" w:hAnsi="Times New Roman" w:cs="Times New Roman"/>
          <w:szCs w:val="20"/>
        </w:rPr>
        <w:t xml:space="preserve"> pateikiama Valstybinės vaistų kontrolės tarnybos prie Lietuvos Respublikos sveikatos apsaugos ministerijos tinklalapyje</w:t>
      </w:r>
      <w:r>
        <w:rPr>
          <w:rFonts w:ascii="Times New Roman" w:eastAsia="Times New Roman" w:hAnsi="Times New Roman" w:cs="Times New Roman"/>
          <w:i/>
          <w:szCs w:val="24"/>
        </w:rPr>
        <w:t xml:space="preserve"> </w:t>
      </w:r>
      <w:hyperlink r:id="rId8">
        <w:r>
          <w:rPr>
            <w:rFonts w:ascii="Times New Roman" w:eastAsia="SimSun" w:hAnsi="Times New Roman" w:cs="Times New Roman"/>
            <w:color w:val="0000FF"/>
            <w:szCs w:val="20"/>
            <w:u w:val="single"/>
          </w:rPr>
          <w:t>http://www.vvkt.lt/</w:t>
        </w:r>
      </w:hyperlink>
      <w:r>
        <w:rPr>
          <w:rFonts w:ascii="Times New Roman" w:eastAsia="Times New Roman" w:hAnsi="Times New Roman" w:cs="Times New Roman"/>
          <w:szCs w:val="20"/>
        </w:rPr>
        <w:t>.</w:t>
      </w:r>
    </w:p>
    <w:p w:rsidR="00170B42" w:rsidRDefault="00170B42"/>
    <w:sectPr w:rsidR="00170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895"/>
    <w:multiLevelType w:val="multilevel"/>
    <w:tmpl w:val="32BE12DA"/>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367628"/>
    <w:multiLevelType w:val="multilevel"/>
    <w:tmpl w:val="4CBE6C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9F421DF"/>
    <w:multiLevelType w:val="multilevel"/>
    <w:tmpl w:val="3CCA6A72"/>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EE01C8"/>
    <w:multiLevelType w:val="multilevel"/>
    <w:tmpl w:val="2BACE2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48076AB8"/>
    <w:multiLevelType w:val="multilevel"/>
    <w:tmpl w:val="C2EC7CC8"/>
    <w:lvl w:ilvl="0">
      <w:start w:val="1"/>
      <w:numFmt w:val="bullet"/>
      <w:lvlText w:val="-"/>
      <w:lvlJc w:val="left"/>
      <w:pPr>
        <w:tabs>
          <w:tab w:val="num" w:pos="567"/>
        </w:tabs>
        <w:ind w:left="567" w:hanging="567"/>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D894E6A"/>
    <w:multiLevelType w:val="multilevel"/>
    <w:tmpl w:val="0FCEC4A6"/>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57951F7"/>
    <w:multiLevelType w:val="multilevel"/>
    <w:tmpl w:val="761C8B1A"/>
    <w:lvl w:ilvl="0">
      <w:start w:val="1"/>
      <w:numFmt w:val="bullet"/>
      <w:lvlText w:val="-"/>
      <w:lvlJc w:val="left"/>
      <w:pPr>
        <w:tabs>
          <w:tab w:val="num" w:pos="567"/>
        </w:tabs>
        <w:ind w:left="567" w:hanging="567"/>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6930DAF"/>
    <w:multiLevelType w:val="multilevel"/>
    <w:tmpl w:val="498E4774"/>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4DE69EE"/>
    <w:multiLevelType w:val="multilevel"/>
    <w:tmpl w:val="4086A3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2057000"/>
    <w:multiLevelType w:val="multilevel"/>
    <w:tmpl w:val="E8689F9A"/>
    <w:lvl w:ilvl="0">
      <w:start w:val="12"/>
      <w:numFmt w:val="bullet"/>
      <w:lvlText w:val="-"/>
      <w:lvlJc w:val="left"/>
      <w:pPr>
        <w:tabs>
          <w:tab w:val="num" w:pos="462"/>
        </w:tabs>
        <w:ind w:left="462" w:hanging="360"/>
      </w:pPr>
      <w:rPr>
        <w:rFonts w:ascii="Times New Roman" w:hAnsi="Times New Roman" w:cs="Times New Roman" w:hint="default"/>
      </w:rPr>
    </w:lvl>
    <w:lvl w:ilvl="1">
      <w:start w:val="12"/>
      <w:numFmt w:val="bullet"/>
      <w:lvlText w:val="-"/>
      <w:lvlJc w:val="left"/>
      <w:pPr>
        <w:tabs>
          <w:tab w:val="num" w:pos="567"/>
        </w:tabs>
        <w:ind w:left="567" w:hanging="567"/>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7"/>
  </w:num>
  <w:num w:numId="4">
    <w:abstractNumId w:val="1"/>
  </w:num>
  <w:num w:numId="5">
    <w:abstractNumId w:val="2"/>
  </w:num>
  <w:num w:numId="6">
    <w:abstractNumId w:val="0"/>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D7"/>
    <w:rsid w:val="00170B42"/>
    <w:rsid w:val="0090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F2454-ACFA-4C7C-B158-4DAAEA5E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0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2022-03-15T14:42:00Z</dcterms:created>
  <dcterms:modified xsi:type="dcterms:W3CDTF">2022-03-15T14:42:00Z</dcterms:modified>
</cp:coreProperties>
</file>