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CF7" w:rsidRDefault="00C05CF7" w:rsidP="00C05CF7">
      <w:pPr>
        <w:pStyle w:val="TTEMEASMCA"/>
        <w:rPr>
          <w:noProof/>
        </w:rPr>
      </w:pPr>
      <w:r>
        <w:t>Pakuotės lapelis</w:t>
      </w:r>
      <w:r>
        <w:rPr>
          <w:noProof/>
        </w:rPr>
        <w:t>: informacija vartotojui</w:t>
      </w:r>
    </w:p>
    <w:p w:rsidR="00C05CF7" w:rsidRDefault="00C05CF7" w:rsidP="00C05CF7">
      <w:pPr>
        <w:pStyle w:val="Title"/>
        <w:rPr>
          <w:b w:val="0"/>
          <w:color w:val="000000" w:themeColor="text1"/>
          <w:sz w:val="22"/>
          <w:szCs w:val="22"/>
        </w:rPr>
      </w:pPr>
    </w:p>
    <w:p w:rsidR="00C05CF7" w:rsidRPr="00DE3AE8" w:rsidRDefault="00C05CF7" w:rsidP="00C05CF7">
      <w:pPr>
        <w:pStyle w:val="BTEMEASMCA"/>
        <w:jc w:val="center"/>
        <w:rPr>
          <w:b/>
          <w:color w:val="000000" w:themeColor="text1"/>
        </w:rPr>
      </w:pPr>
      <w:r w:rsidRPr="00DE3AE8">
        <w:rPr>
          <w:b/>
        </w:rPr>
        <w:t>Amiptifree 20 mg/5 mg/ml akių lašai (tirpalas)</w:t>
      </w:r>
    </w:p>
    <w:p w:rsidR="00C05CF7" w:rsidRDefault="00C05CF7" w:rsidP="00C05CF7">
      <w:pPr>
        <w:pStyle w:val="BTEMEASMCA"/>
        <w:jc w:val="center"/>
      </w:pPr>
      <w:r>
        <w:t>Dorzolamidas ir timololis</w:t>
      </w:r>
    </w:p>
    <w:p w:rsidR="00C05CF7" w:rsidRDefault="00C05CF7" w:rsidP="00C05CF7">
      <w:pPr>
        <w:pStyle w:val="BTEMEASMCA"/>
      </w:pPr>
    </w:p>
    <w:p w:rsidR="00C05CF7" w:rsidRDefault="00C05CF7" w:rsidP="00C05CF7">
      <w:pPr>
        <w:pStyle w:val="BTbEMEASMCA"/>
      </w:pPr>
      <w:r>
        <w:t>Atidžiai perskaitykite visą šį lapelį, prieš pradėdami vartoti vaistą, nes jame pateikiama Jums svarbi informacija.</w:t>
      </w:r>
    </w:p>
    <w:p w:rsidR="00C05CF7" w:rsidRDefault="00C05CF7" w:rsidP="00C05CF7">
      <w:pPr>
        <w:pStyle w:val="BT-EMEASMCA"/>
      </w:pPr>
      <w:r>
        <w:t>Neišmeskite šio lapelio, nes vėl gali prireikti jį perskaityti.</w:t>
      </w:r>
    </w:p>
    <w:p w:rsidR="00C05CF7" w:rsidRDefault="00C05CF7" w:rsidP="00C05CF7">
      <w:pPr>
        <w:pStyle w:val="BT-EMEASMCA"/>
      </w:pPr>
      <w:r>
        <w:t>Jeigu kiltų daugiau klausimų, kreipkitės į gydytoją arba vaistininką.</w:t>
      </w:r>
    </w:p>
    <w:p w:rsidR="00C05CF7" w:rsidRDefault="00C05CF7" w:rsidP="00C05CF7">
      <w:pPr>
        <w:pStyle w:val="BT-EMEASMCA"/>
      </w:pPr>
      <w:r>
        <w:t>Šis vaistas skirtas tik Jums, todėl kitiems žmonėms jo duoti negalima. Vaistas gali jiems pakenkti (net tiems, kurių ligos požymiai yra tokie patys kaip Jūsų).</w:t>
      </w:r>
    </w:p>
    <w:p w:rsidR="00C05CF7" w:rsidRDefault="00C05CF7" w:rsidP="00C05CF7">
      <w:pPr>
        <w:pStyle w:val="BT-EMEASMCA"/>
      </w:pPr>
      <w:r>
        <w:t>Jeigu pasireiškė šalutinis poveikis (net jeigu jis šiame lapelyje nenurodytas), kreipkitės į gydytoją arba vaistininką. Žr. 4 skyrių.</w:t>
      </w:r>
    </w:p>
    <w:p w:rsidR="00C05CF7" w:rsidRDefault="00C05CF7" w:rsidP="00C05CF7">
      <w:pPr>
        <w:jc w:val="both"/>
        <w:rPr>
          <w:rFonts w:ascii="Times New Roman" w:hAnsi="Times New Roman"/>
          <w:color w:val="000000" w:themeColor="text1"/>
        </w:rPr>
      </w:pPr>
    </w:p>
    <w:p w:rsidR="00C05CF7" w:rsidRDefault="00C05CF7" w:rsidP="00C05CF7">
      <w:pPr>
        <w:jc w:val="both"/>
        <w:rPr>
          <w:rFonts w:ascii="Times New Roman" w:hAnsi="Times New Roman"/>
          <w:color w:val="000000" w:themeColor="text1"/>
        </w:rPr>
      </w:pPr>
    </w:p>
    <w:p w:rsidR="00C05CF7" w:rsidRPr="00DE3AE8" w:rsidRDefault="00C05CF7" w:rsidP="00C05CF7">
      <w:pPr>
        <w:pStyle w:val="BTEMEASMCA"/>
        <w:rPr>
          <w:b/>
        </w:rPr>
      </w:pPr>
      <w:r w:rsidRPr="00DE3AE8">
        <w:rPr>
          <w:b/>
        </w:rPr>
        <w:t>Apie ką rašoma šiame lapelyje?</w:t>
      </w:r>
    </w:p>
    <w:p w:rsidR="00C05CF7" w:rsidRDefault="00C05CF7" w:rsidP="00C05CF7">
      <w:pPr>
        <w:pStyle w:val="BTEMEASMCA"/>
      </w:pPr>
    </w:p>
    <w:p w:rsidR="00C05CF7" w:rsidRDefault="00C05CF7" w:rsidP="00C05CF7">
      <w:pPr>
        <w:pStyle w:val="BTEMEASMCA"/>
      </w:pPr>
      <w:r>
        <w:t>1.</w:t>
      </w:r>
      <w:r>
        <w:tab/>
        <w:t xml:space="preserve">Kas yra </w:t>
      </w:r>
      <w:r>
        <w:rPr>
          <w:bCs/>
        </w:rPr>
        <w:t>Amiptifree</w:t>
      </w:r>
      <w:r>
        <w:t xml:space="preserve"> ir kam jis vartojamas</w:t>
      </w:r>
    </w:p>
    <w:p w:rsidR="00C05CF7" w:rsidRDefault="00C05CF7" w:rsidP="00C05CF7">
      <w:pPr>
        <w:pStyle w:val="BTEMEASMCA"/>
      </w:pPr>
      <w:r>
        <w:t>2.</w:t>
      </w:r>
      <w:r>
        <w:tab/>
        <w:t xml:space="preserve">Kas žinotina prieš vartojant </w:t>
      </w:r>
      <w:r>
        <w:rPr>
          <w:bCs/>
        </w:rPr>
        <w:t>Amiptifree</w:t>
      </w:r>
    </w:p>
    <w:p w:rsidR="00C05CF7" w:rsidRDefault="00C05CF7" w:rsidP="00C05CF7">
      <w:pPr>
        <w:pStyle w:val="BTEMEASMCA"/>
      </w:pPr>
      <w:r>
        <w:t>3.</w:t>
      </w:r>
      <w:r>
        <w:tab/>
        <w:t xml:space="preserve">Kaip vartoti </w:t>
      </w:r>
      <w:r>
        <w:rPr>
          <w:bCs/>
        </w:rPr>
        <w:t>Amiptifree</w:t>
      </w:r>
    </w:p>
    <w:p w:rsidR="00C05CF7" w:rsidRDefault="00C05CF7" w:rsidP="00C05CF7">
      <w:pPr>
        <w:pStyle w:val="BTEMEASMCA"/>
      </w:pPr>
      <w:r>
        <w:t>4.</w:t>
      </w:r>
      <w:r>
        <w:tab/>
        <w:t>Galimas šalutinis poveikis</w:t>
      </w:r>
    </w:p>
    <w:p w:rsidR="00C05CF7" w:rsidRDefault="00C05CF7" w:rsidP="00C05CF7">
      <w:pPr>
        <w:pStyle w:val="BTEMEASMCA"/>
      </w:pPr>
      <w:r>
        <w:t>5.</w:t>
      </w:r>
      <w:r>
        <w:tab/>
        <w:t xml:space="preserve">Kaip laikyti </w:t>
      </w:r>
      <w:r>
        <w:rPr>
          <w:bCs/>
        </w:rPr>
        <w:t>Amiptifree</w:t>
      </w:r>
    </w:p>
    <w:p w:rsidR="00C05CF7" w:rsidRDefault="00C05CF7" w:rsidP="00C05CF7">
      <w:pPr>
        <w:pStyle w:val="BTEMEASMCA"/>
        <w:rPr>
          <w:color w:val="000000" w:themeColor="text1"/>
        </w:rPr>
      </w:pPr>
      <w:r>
        <w:rPr>
          <w:color w:val="000000" w:themeColor="text1"/>
        </w:rPr>
        <w:t>6.</w:t>
      </w:r>
      <w:r>
        <w:rPr>
          <w:color w:val="000000" w:themeColor="text1"/>
        </w:rPr>
        <w:tab/>
      </w:r>
      <w:r>
        <w:t>Pakuotės turinys ir kita informacija</w:t>
      </w:r>
    </w:p>
    <w:p w:rsidR="00C05CF7" w:rsidRDefault="00C05CF7" w:rsidP="00C05CF7">
      <w:pPr>
        <w:rPr>
          <w:rFonts w:ascii="Times New Roman" w:hAnsi="Times New Roman"/>
          <w:color w:val="000000" w:themeColor="text1"/>
        </w:rPr>
      </w:pPr>
    </w:p>
    <w:p w:rsidR="00C05CF7" w:rsidRDefault="00C05CF7" w:rsidP="00C05CF7">
      <w:pPr>
        <w:jc w:val="both"/>
        <w:rPr>
          <w:rFonts w:ascii="Times New Roman" w:hAnsi="Times New Roman"/>
          <w:color w:val="000000" w:themeColor="text1"/>
        </w:rPr>
      </w:pPr>
    </w:p>
    <w:p w:rsidR="00C05CF7" w:rsidRDefault="00C05CF7" w:rsidP="00C05CF7">
      <w:pPr>
        <w:pStyle w:val="PI-1EMEASMCA"/>
        <w:rPr>
          <w:color w:val="000000" w:themeColor="text1"/>
        </w:rPr>
      </w:pPr>
      <w:bookmarkStart w:id="0" w:name="_Toc129243264"/>
      <w:bookmarkStart w:id="1" w:name="_Toc129243139"/>
      <w:r>
        <w:rPr>
          <w:color w:val="000000" w:themeColor="text1"/>
        </w:rPr>
        <w:t>1.</w:t>
      </w:r>
      <w:r>
        <w:rPr>
          <w:color w:val="000000" w:themeColor="text1"/>
        </w:rPr>
        <w:tab/>
        <w:t>Kas yra Amiptifree ir kam jis vartojamas</w:t>
      </w:r>
      <w:bookmarkEnd w:id="0"/>
      <w:bookmarkEnd w:id="1"/>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r>
        <w:rPr>
          <w:rFonts w:ascii="Times New Roman" w:hAnsi="Times New Roman"/>
          <w:color w:val="000000" w:themeColor="text1"/>
        </w:rPr>
        <w:t>Amiptifree yra oftalmologinis sterilių lašų formos vaistas, be konservantų, kurio sudėtyje yra dvi veikliosios medžiagos: dorzolamidas ir timololis.</w:t>
      </w:r>
    </w:p>
    <w:p w:rsidR="00C05CF7" w:rsidRDefault="00C05CF7" w:rsidP="00C05CF7">
      <w:pPr>
        <w:pStyle w:val="BT-EMEASMCA"/>
      </w:pPr>
      <w:r>
        <w:t>Dorzolamidas priklauso vaistų grupei, vadinamai "karboanhidrazės inhibitoriai".</w:t>
      </w:r>
    </w:p>
    <w:p w:rsidR="00C05CF7" w:rsidRDefault="00C05CF7" w:rsidP="00C05CF7">
      <w:pPr>
        <w:pStyle w:val="BT-EMEASMCA"/>
      </w:pPr>
      <w:r>
        <w:t>Timololis priklauso vaistų grupei, vadinamai "beta adrenoreceptorius blokuojančios medžiagos".</w:t>
      </w:r>
    </w:p>
    <w:p w:rsidR="00C05CF7" w:rsidRDefault="00C05CF7" w:rsidP="00C05CF7">
      <w:pPr>
        <w:rPr>
          <w:rFonts w:ascii="Times New Roman" w:hAnsi="Times New Roman"/>
          <w:color w:val="000000" w:themeColor="text1"/>
        </w:rPr>
      </w:pPr>
      <w:r>
        <w:rPr>
          <w:rFonts w:ascii="Times New Roman" w:hAnsi="Times New Roman"/>
          <w:color w:val="000000" w:themeColor="text1"/>
        </w:rPr>
        <w:t>Kartu šie vaistai skirtingu būdu mažina padidėjusį akispūdį.</w:t>
      </w:r>
    </w:p>
    <w:p w:rsidR="00C05CF7" w:rsidRDefault="00C05CF7" w:rsidP="00C05CF7">
      <w:pPr>
        <w:rPr>
          <w:rFonts w:ascii="Times New Roman" w:hAnsi="Times New Roman"/>
          <w:color w:val="000000" w:themeColor="text1"/>
        </w:rPr>
      </w:pPr>
    </w:p>
    <w:p w:rsidR="00C05CF7" w:rsidRDefault="00C05CF7" w:rsidP="00C05CF7">
      <w:pPr>
        <w:pStyle w:val="BodyText"/>
        <w:spacing w:after="0"/>
        <w:rPr>
          <w:bCs/>
          <w:color w:val="000000" w:themeColor="text1"/>
          <w:szCs w:val="22"/>
        </w:rPr>
      </w:pPr>
      <w:r>
        <w:rPr>
          <w:color w:val="000000" w:themeColor="text1"/>
          <w:szCs w:val="22"/>
        </w:rPr>
        <w:t xml:space="preserve">Amiptifree yra skiriamas </w:t>
      </w:r>
      <w:r>
        <w:rPr>
          <w:bCs/>
          <w:color w:val="000000" w:themeColor="text1"/>
          <w:szCs w:val="22"/>
        </w:rPr>
        <w:t>padidėjusiam akispūdžiui mažinti gydant glaukomą, jeigu vartojamų vienų beta adrenoreceptorių blokatorių akių lašų poveikis yra nepakankamas.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p>
    <w:p w:rsidR="00C05CF7" w:rsidRDefault="00C05CF7" w:rsidP="00C05CF7">
      <w:pPr>
        <w:pStyle w:val="Heading2"/>
        <w:tabs>
          <w:tab w:val="left" w:pos="567"/>
        </w:tabs>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t>Kas žinotina prieš vartojant Amiptifree</w:t>
      </w:r>
    </w:p>
    <w:p w:rsidR="00C05CF7" w:rsidRDefault="00C05CF7" w:rsidP="00C05CF7">
      <w:pPr>
        <w:pStyle w:val="BodyText"/>
        <w:spacing w:after="0"/>
        <w:rPr>
          <w:color w:val="000000" w:themeColor="text1"/>
          <w:szCs w:val="22"/>
        </w:rPr>
      </w:pPr>
    </w:p>
    <w:p w:rsidR="00C05CF7" w:rsidRDefault="00C05CF7" w:rsidP="00C05CF7">
      <w:pPr>
        <w:pStyle w:val="Heading3"/>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Amiptifree vartoti negalima:</w:t>
      </w:r>
    </w:p>
    <w:p w:rsidR="00C05CF7" w:rsidRDefault="00C05CF7" w:rsidP="00C05CF7">
      <w:pPr>
        <w:numPr>
          <w:ilvl w:val="0"/>
          <w:numId w:val="2"/>
        </w:numPr>
        <w:tabs>
          <w:tab w:val="clear" w:pos="397"/>
          <w:tab w:val="num" w:pos="540"/>
        </w:tabs>
        <w:spacing w:after="0" w:line="240" w:lineRule="auto"/>
        <w:ind w:left="540" w:hanging="540"/>
        <w:rPr>
          <w:rFonts w:ascii="Times New Roman" w:hAnsi="Times New Roman"/>
          <w:color w:val="000000" w:themeColor="text1"/>
        </w:rPr>
      </w:pPr>
      <w:r>
        <w:rPr>
          <w:rFonts w:ascii="Times New Roman" w:hAnsi="Times New Roman"/>
          <w:color w:val="000000" w:themeColor="text1"/>
        </w:rPr>
        <w:t>jeigu yra alergija dorzolamido hidrochloridui, timololio maleatui ar bet kuriai pagalbinei šio vaisto medžiagai (jos išvardytos 6 skyriuje);</w:t>
      </w:r>
    </w:p>
    <w:p w:rsidR="00C05CF7" w:rsidRDefault="00C05CF7" w:rsidP="00C05CF7">
      <w:pPr>
        <w:numPr>
          <w:ilvl w:val="0"/>
          <w:numId w:val="2"/>
        </w:numPr>
        <w:tabs>
          <w:tab w:val="clear" w:pos="397"/>
          <w:tab w:val="num" w:pos="540"/>
        </w:tabs>
        <w:spacing w:after="0" w:line="240" w:lineRule="auto"/>
        <w:ind w:left="540" w:hanging="540"/>
        <w:rPr>
          <w:rFonts w:ascii="Times New Roman" w:hAnsi="Times New Roman"/>
          <w:color w:val="000000" w:themeColor="text1"/>
        </w:rPr>
      </w:pPr>
      <w:r>
        <w:rPr>
          <w:rFonts w:ascii="Times New Roman" w:hAnsi="Times New Roman"/>
          <w:color w:val="000000" w:themeColor="text1"/>
        </w:rPr>
        <w:t>jeigu dabar sergate arba kada nors anksčiau esate sirgęs tokia kvėpavimo organų liga kaip astma, sunkiu lėtiniu obstrukciniu bronchitu (sunkia plaučių liga, kuri gali sukelti švokštimą, kvėpavimo pasunkėjimą ir/arba ilgalaikį kosulį);</w:t>
      </w:r>
    </w:p>
    <w:p w:rsidR="00C05CF7" w:rsidRDefault="00C05CF7" w:rsidP="00C05CF7">
      <w:pPr>
        <w:numPr>
          <w:ilvl w:val="0"/>
          <w:numId w:val="2"/>
        </w:numPr>
        <w:tabs>
          <w:tab w:val="clear" w:pos="397"/>
          <w:tab w:val="num" w:pos="540"/>
        </w:tabs>
        <w:spacing w:after="0" w:line="240" w:lineRule="auto"/>
        <w:ind w:left="540" w:hanging="540"/>
        <w:rPr>
          <w:rFonts w:ascii="Times New Roman" w:hAnsi="Times New Roman"/>
          <w:color w:val="000000" w:themeColor="text1"/>
        </w:rPr>
      </w:pPr>
      <w:r>
        <w:rPr>
          <w:rFonts w:ascii="Times New Roman" w:hAnsi="Times New Roman"/>
        </w:rPr>
        <w:t>jeigu Jus vargina tam tikri širdies sutrikimai, įskaitant kai kuriuos širdies ritmo sutrikimus, sukeliančius nenormaliai retą širdies plakimą ar sunkų širdies nepakankamumą;</w:t>
      </w:r>
    </w:p>
    <w:p w:rsidR="00C05CF7" w:rsidRDefault="00C05CF7" w:rsidP="00C05CF7">
      <w:pPr>
        <w:numPr>
          <w:ilvl w:val="0"/>
          <w:numId w:val="2"/>
        </w:numPr>
        <w:tabs>
          <w:tab w:val="clear" w:pos="397"/>
          <w:tab w:val="num" w:pos="540"/>
        </w:tabs>
        <w:spacing w:after="0" w:line="240" w:lineRule="auto"/>
        <w:ind w:left="540" w:hanging="540"/>
        <w:rPr>
          <w:rFonts w:ascii="Times New Roman" w:hAnsi="Times New Roman"/>
          <w:color w:val="000000" w:themeColor="text1"/>
        </w:rPr>
      </w:pPr>
      <w:r>
        <w:rPr>
          <w:rFonts w:ascii="Times New Roman" w:hAnsi="Times New Roman"/>
          <w:color w:val="000000" w:themeColor="text1"/>
        </w:rPr>
        <w:t>jeigu yra sunkių inkstų problemų arba anksčiau sirgote inkstų akmenlige;</w:t>
      </w:r>
    </w:p>
    <w:p w:rsidR="00C05CF7" w:rsidRDefault="00C05CF7" w:rsidP="00C05CF7">
      <w:pPr>
        <w:numPr>
          <w:ilvl w:val="0"/>
          <w:numId w:val="2"/>
        </w:numPr>
        <w:tabs>
          <w:tab w:val="clear" w:pos="397"/>
          <w:tab w:val="num" w:pos="540"/>
        </w:tabs>
        <w:spacing w:after="0" w:line="240" w:lineRule="auto"/>
        <w:ind w:left="540" w:hanging="540"/>
        <w:rPr>
          <w:rFonts w:ascii="Times New Roman" w:hAnsi="Times New Roman"/>
          <w:color w:val="000000" w:themeColor="text1"/>
        </w:rPr>
      </w:pPr>
      <w:r>
        <w:rPr>
          <w:rFonts w:ascii="Times New Roman" w:hAnsi="Times New Roman"/>
          <w:color w:val="000000" w:themeColor="text1"/>
        </w:rPr>
        <w:t>jeigu Jūsų kraujyje padidėjęs rūgščių kiekis dėl padidėjusio chloridų susidarymo (hiperchloreminė acidozė).</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r>
        <w:rPr>
          <w:rFonts w:ascii="Times New Roman" w:hAnsi="Times New Roman"/>
          <w:color w:val="000000" w:themeColor="text1"/>
        </w:rPr>
        <w:t>Jeigu abejojate, ar jums tinka vartoti Amiptifree, pasitarkite su gydytoju arba vaistininku.</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b/>
          <w:bCs/>
          <w:color w:val="000000" w:themeColor="text1"/>
        </w:rPr>
      </w:pPr>
      <w:r>
        <w:rPr>
          <w:rFonts w:ascii="Times New Roman" w:hAnsi="Times New Roman"/>
          <w:b/>
          <w:bCs/>
          <w:color w:val="000000" w:themeColor="text1"/>
        </w:rPr>
        <w:t>Įspėjimai ir atsargumo priemonės</w:t>
      </w:r>
    </w:p>
    <w:p w:rsidR="00C05CF7" w:rsidRDefault="00C05CF7" w:rsidP="00C05CF7">
      <w:pPr>
        <w:rPr>
          <w:rFonts w:ascii="Times New Roman" w:hAnsi="Times New Roman"/>
          <w:color w:val="000000" w:themeColor="text1"/>
        </w:rPr>
      </w:pPr>
      <w:r>
        <w:rPr>
          <w:rFonts w:ascii="Times New Roman" w:hAnsi="Times New Roman"/>
          <w:noProof/>
        </w:rPr>
        <w:t xml:space="preserve">Pasitarkite su gydytoju arba vaistininku, prieš pradėdami vartoti </w:t>
      </w:r>
      <w:r>
        <w:rPr>
          <w:rFonts w:ascii="Times New Roman" w:hAnsi="Times New Roman"/>
          <w:color w:val="000000" w:themeColor="text1"/>
        </w:rPr>
        <w:t>Amiptifree.</w:t>
      </w:r>
    </w:p>
    <w:p w:rsidR="00C05CF7" w:rsidRDefault="00C05CF7" w:rsidP="00C05CF7">
      <w:pPr>
        <w:rPr>
          <w:rFonts w:ascii="Times New Roman" w:hAnsi="Times New Roman"/>
          <w:color w:val="000000" w:themeColor="text1"/>
        </w:rPr>
      </w:pPr>
      <w:r>
        <w:rPr>
          <w:rFonts w:ascii="Times New Roman" w:hAnsi="Times New Roman"/>
          <w:color w:val="000000" w:themeColor="text1"/>
        </w:rPr>
        <w:t>Prieš pradėdami vartoti Amiptifree, įspėkite savo gydytoją apie medicinines arba akių problemas, kurias turite arba kurių yra buvę anksčiau, ypač jeigu yra:</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plaučių ir kvėpavimo problemos, astma arba lėtinė obstrukcinė plaučių liga;</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širdies problemos ir koronarinė širdies liga (simptomai gali būti krūtinės skausmas arba tempimas, dusulys arba smaugimo jausmas), širdies nepakankamumas, žemas kraujospūdis;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širdies ritmo sutrikimai, tokie kaip retas širdies plakimas;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kraujotakos problemos (tokios kaip Raynaud liga arba Raynaud sindromas);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diabetas, kadangi timololis gali užmaskuoti sumažėjusio cukraus kiekio kraujyje požymius ir simptomus (hipoglikemiją);</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skydliaukės problemos, kadangi timololis gali maskuoti padidėjusio skydliaukės aktyvumo požymius ir simptomus;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kepenų problemos;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bet kokios alergijos ar alerginės reakcijos, įskaitant bėrimą, veido, lūpų, liežuvio ir/arba gerklės patinimą, dėl ko gali pasunkėti kvėpavimas arba rijimas;</w:t>
      </w:r>
    </w:p>
    <w:p w:rsidR="00C05CF7" w:rsidRDefault="00C05CF7" w:rsidP="00C05CF7">
      <w:pPr>
        <w:pStyle w:val="Sraopastraipa1"/>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raumenų silpnumas arba nustatyta generalizuota miastenija.</w:t>
      </w:r>
    </w:p>
    <w:p w:rsidR="00C05CF7" w:rsidRDefault="00C05CF7" w:rsidP="00C05CF7">
      <w:pPr>
        <w:pStyle w:val="Sraopastraipa1"/>
        <w:ind w:left="0"/>
        <w:rPr>
          <w:rFonts w:ascii="Times New Roman" w:hAnsi="Times New Roman"/>
          <w:color w:val="000000" w:themeColor="text1"/>
          <w:sz w:val="22"/>
          <w:szCs w:val="22"/>
        </w:rPr>
      </w:pPr>
    </w:p>
    <w:p w:rsidR="00C05CF7" w:rsidRDefault="00C05CF7" w:rsidP="00C05CF7">
      <w:pPr>
        <w:pStyle w:val="Sraopastraipa1"/>
        <w:ind w:left="0"/>
        <w:rPr>
          <w:rFonts w:ascii="Times New Roman" w:hAnsi="Times New Roman"/>
          <w:color w:val="000000" w:themeColor="text1"/>
          <w:sz w:val="22"/>
          <w:szCs w:val="22"/>
        </w:rPr>
      </w:pPr>
      <w:r>
        <w:rPr>
          <w:rFonts w:ascii="Times New Roman" w:hAnsi="Times New Roman"/>
          <w:color w:val="000000" w:themeColor="text1"/>
          <w:sz w:val="22"/>
          <w:szCs w:val="22"/>
        </w:rPr>
        <w:t xml:space="preserve">Jei Jums pasireiškė bet kuris iš žemiau nurodytų atvejų, </w:t>
      </w:r>
      <w:r>
        <w:rPr>
          <w:rFonts w:ascii="Times New Roman" w:hAnsi="Times New Roman"/>
          <w:b/>
          <w:color w:val="000000" w:themeColor="text1"/>
          <w:sz w:val="22"/>
          <w:szCs w:val="22"/>
        </w:rPr>
        <w:t xml:space="preserve">nustokite naudoti </w:t>
      </w:r>
      <w:r>
        <w:rPr>
          <w:rFonts w:ascii="Times New Roman" w:hAnsi="Times New Roman"/>
          <w:color w:val="000000" w:themeColor="text1"/>
          <w:sz w:val="22"/>
          <w:szCs w:val="22"/>
        </w:rPr>
        <w:t>akių lašus ir kreipkitės nedelsiant į savo gydytoją:</w:t>
      </w:r>
    </w:p>
    <w:p w:rsidR="00C05CF7" w:rsidRDefault="00C05CF7" w:rsidP="00C05CF7">
      <w:pPr>
        <w:pStyle w:val="ListParagraph"/>
        <w:numPr>
          <w:ilvl w:val="0"/>
          <w:numId w:val="2"/>
        </w:numPr>
        <w:rPr>
          <w:rFonts w:ascii="Times New Roman" w:hAnsi="Times New Roman"/>
          <w:color w:val="000000" w:themeColor="text1"/>
          <w:sz w:val="22"/>
          <w:szCs w:val="22"/>
        </w:rPr>
      </w:pPr>
      <w:r>
        <w:rPr>
          <w:rFonts w:ascii="Times New Roman" w:hAnsi="Times New Roman"/>
          <w:color w:val="000000" w:themeColor="text1"/>
          <w:sz w:val="22"/>
          <w:szCs w:val="22"/>
        </w:rPr>
        <w:t>jei Jums atsirado kokių nors akių dirginimo požymių, paraudo akys, patino vokai, nedelsiant kreipkitės į gydytoją;</w:t>
      </w:r>
    </w:p>
    <w:p w:rsidR="00C05CF7" w:rsidRDefault="00C05CF7" w:rsidP="00C05CF7">
      <w:pPr>
        <w:pStyle w:val="BT-EMEASMCA"/>
        <w:numPr>
          <w:ilvl w:val="0"/>
          <w:numId w:val="2"/>
        </w:numPr>
      </w:pPr>
      <w:r>
        <w:t>jei pasireiškė alerginės reakcijos simptomai. Žr. 4 skyrių „Galimas šalutinis poveikis“ (pvz., odos išbėrimas, paraudimas arba akių niežulys).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bCs/>
          <w:color w:val="000000" w:themeColor="text1"/>
        </w:rPr>
      </w:pPr>
      <w:r>
        <w:rPr>
          <w:rFonts w:ascii="Times New Roman" w:hAnsi="Times New Roman"/>
          <w:color w:val="000000" w:themeColor="text1"/>
        </w:rPr>
        <w:t xml:space="preserve">Pasakykite gydytojui, jeigu Jūs </w:t>
      </w:r>
      <w:r>
        <w:rPr>
          <w:rFonts w:ascii="Times New Roman" w:hAnsi="Times New Roman"/>
          <w:bCs/>
          <w:color w:val="000000" w:themeColor="text1"/>
        </w:rPr>
        <w:t>pažeidėte akį ar jums bus daroma akių operacija, kadangi timololis gali pakeisti kai kurių vaistų, vartojamų anestezijos metu, poveikį.</w:t>
      </w:r>
    </w:p>
    <w:p w:rsidR="00C05CF7" w:rsidRDefault="00C05CF7" w:rsidP="00C05CF7">
      <w:pPr>
        <w:rPr>
          <w:rFonts w:ascii="Times New Roman" w:hAnsi="Times New Roman"/>
          <w:bCs/>
          <w:color w:val="000000" w:themeColor="text1"/>
        </w:rPr>
      </w:pPr>
    </w:p>
    <w:p w:rsidR="00C05CF7" w:rsidRDefault="00C05CF7" w:rsidP="00C05CF7">
      <w:pPr>
        <w:rPr>
          <w:rFonts w:ascii="Times New Roman" w:hAnsi="Times New Roman"/>
          <w:bCs/>
          <w:color w:val="000000" w:themeColor="text1"/>
        </w:rPr>
      </w:pPr>
      <w:r>
        <w:rPr>
          <w:rFonts w:ascii="Times New Roman" w:hAnsi="Times New Roman"/>
          <w:bCs/>
          <w:color w:val="000000" w:themeColor="text1"/>
        </w:rPr>
        <w:t xml:space="preserve">Kai </w:t>
      </w:r>
      <w:r>
        <w:rPr>
          <w:rFonts w:ascii="Times New Roman" w:hAnsi="Times New Roman"/>
          <w:color w:val="000000" w:themeColor="text1"/>
        </w:rPr>
        <w:t>Amiptifree</w:t>
      </w:r>
      <w:r>
        <w:rPr>
          <w:rFonts w:ascii="Times New Roman" w:hAnsi="Times New Roman"/>
          <w:bCs/>
          <w:color w:val="000000" w:themeColor="text1"/>
        </w:rPr>
        <w:t xml:space="preserve"> lašinama ant akių, jis gali paveikti visą organizmą.</w:t>
      </w:r>
    </w:p>
    <w:p w:rsidR="00C05CF7" w:rsidRDefault="00C05CF7" w:rsidP="00C05CF7">
      <w:pPr>
        <w:rPr>
          <w:rFonts w:ascii="Times New Roman" w:hAnsi="Times New Roman"/>
          <w:bCs/>
          <w:color w:val="000000" w:themeColor="text1"/>
        </w:rPr>
      </w:pPr>
    </w:p>
    <w:p w:rsidR="00C05CF7" w:rsidRDefault="00C05CF7" w:rsidP="00C05CF7">
      <w:pPr>
        <w:rPr>
          <w:rFonts w:ascii="Times New Roman" w:hAnsi="Times New Roman"/>
          <w:bCs/>
          <w:color w:val="000000" w:themeColor="text1"/>
        </w:rPr>
      </w:pPr>
      <w:r>
        <w:rPr>
          <w:rFonts w:ascii="Times New Roman" w:hAnsi="Times New Roman"/>
          <w:bCs/>
        </w:rPr>
        <w:t xml:space="preserve">Amiptifree poveikis pacientams nešiojantiems kontaktinius lęšius netirtas. Jeigu Jūs nešiojate minkštus kontaktinius lęšius, turėtumėte pasitarti su savo gydytoju prieš pradedant vartoti </w:t>
      </w:r>
      <w:r>
        <w:rPr>
          <w:rFonts w:ascii="Times New Roman" w:hAnsi="Times New Roman"/>
          <w:color w:val="000000" w:themeColor="text1"/>
        </w:rPr>
        <w:t>Amiptifree</w:t>
      </w:r>
      <w:r>
        <w:rPr>
          <w:rFonts w:ascii="Times New Roman" w:hAnsi="Times New Roman"/>
          <w:bCs/>
        </w:rPr>
        <w:t>. P</w:t>
      </w:r>
      <w:r>
        <w:rPr>
          <w:rFonts w:ascii="Times New Roman" w:hAnsi="Times New Roman"/>
        </w:rPr>
        <w:t>rieš lašinant vaistinį preparatą, kontaktinius lęšius turite išimti ir įsidėti atgal po vaisto įlašinimo praėjus ne mažiau kaip 15 minučių.</w:t>
      </w:r>
    </w:p>
    <w:p w:rsidR="00C05CF7" w:rsidRDefault="00C05CF7" w:rsidP="00C05CF7">
      <w:pPr>
        <w:rPr>
          <w:rFonts w:ascii="Times New Roman" w:hAnsi="Times New Roman"/>
          <w:bCs/>
          <w:color w:val="000000" w:themeColor="text1"/>
        </w:rPr>
      </w:pPr>
    </w:p>
    <w:p w:rsidR="00C05CF7" w:rsidRDefault="00C05CF7" w:rsidP="00C05CF7">
      <w:pPr>
        <w:rPr>
          <w:rFonts w:ascii="Times New Roman" w:hAnsi="Times New Roman"/>
          <w:bCs/>
          <w:color w:val="000000" w:themeColor="text1"/>
          <w:u w:val="single"/>
        </w:rPr>
      </w:pPr>
      <w:r>
        <w:rPr>
          <w:rFonts w:ascii="Times New Roman" w:hAnsi="Times New Roman"/>
          <w:bCs/>
          <w:color w:val="000000" w:themeColor="text1"/>
          <w:u w:val="single"/>
        </w:rPr>
        <w:t>Vartojimas vaikams</w:t>
      </w:r>
    </w:p>
    <w:p w:rsidR="00C05CF7" w:rsidRDefault="00C05CF7" w:rsidP="00C05CF7">
      <w:pPr>
        <w:rPr>
          <w:rFonts w:ascii="Times New Roman" w:hAnsi="Times New Roman"/>
          <w:color w:val="000000" w:themeColor="text1"/>
        </w:rPr>
      </w:pPr>
      <w:r>
        <w:rPr>
          <w:rFonts w:ascii="Times New Roman" w:hAnsi="Times New Roman"/>
          <w:color w:val="000000" w:themeColor="text1"/>
        </w:rPr>
        <w:t>Dorzolamido hidrochlorido ir timololio maleato vartojimo kūdikiams ir vaikams patirtis yra ribota.</w:t>
      </w:r>
    </w:p>
    <w:p w:rsidR="00C05CF7" w:rsidRDefault="00C05CF7" w:rsidP="00C05CF7">
      <w:pPr>
        <w:rPr>
          <w:rFonts w:ascii="Times New Roman" w:hAnsi="Times New Roman"/>
          <w:bCs/>
          <w:color w:val="000000" w:themeColor="text1"/>
        </w:rPr>
      </w:pPr>
    </w:p>
    <w:p w:rsidR="00C05CF7" w:rsidRDefault="00C05CF7" w:rsidP="00C05CF7">
      <w:pPr>
        <w:pStyle w:val="BodyText"/>
        <w:spacing w:after="0"/>
        <w:rPr>
          <w:color w:val="000000" w:themeColor="text1"/>
          <w:szCs w:val="22"/>
          <w:u w:val="single"/>
        </w:rPr>
      </w:pPr>
      <w:r>
        <w:rPr>
          <w:color w:val="000000" w:themeColor="text1"/>
          <w:szCs w:val="22"/>
          <w:u w:val="single"/>
        </w:rPr>
        <w:t>Vartojimas senyviems pacientams</w:t>
      </w:r>
    </w:p>
    <w:p w:rsidR="00C05CF7" w:rsidRDefault="00C05CF7" w:rsidP="00C05CF7">
      <w:pPr>
        <w:pStyle w:val="BodyText"/>
        <w:spacing w:after="0"/>
        <w:rPr>
          <w:color w:val="000000" w:themeColor="text1"/>
          <w:szCs w:val="22"/>
        </w:rPr>
      </w:pPr>
      <w:r>
        <w:rPr>
          <w:color w:val="000000" w:themeColor="text1"/>
          <w:szCs w:val="22"/>
        </w:rPr>
        <w:t>Klinikinių dorzolamido hidrochlorido ir timololio maleato derinio be konservantų priedo tyrimų metu nustatyta, kad poveikis senyviems ir jauniems pacientams labai panašus.</w:t>
      </w:r>
    </w:p>
    <w:p w:rsidR="00C05CF7" w:rsidRDefault="00C05CF7" w:rsidP="00C05CF7">
      <w:pPr>
        <w:rPr>
          <w:rFonts w:ascii="Times New Roman" w:hAnsi="Times New Roman"/>
          <w:bCs/>
          <w:color w:val="000000" w:themeColor="text1"/>
        </w:rPr>
      </w:pPr>
    </w:p>
    <w:p w:rsidR="00C05CF7" w:rsidRDefault="00C05CF7" w:rsidP="00C05CF7">
      <w:pPr>
        <w:rPr>
          <w:rFonts w:ascii="Times New Roman" w:hAnsi="Times New Roman"/>
          <w:b/>
          <w:bCs/>
          <w:color w:val="000000" w:themeColor="text1"/>
        </w:rPr>
      </w:pPr>
      <w:r>
        <w:rPr>
          <w:rFonts w:ascii="Times New Roman" w:hAnsi="Times New Roman"/>
          <w:b/>
          <w:bCs/>
          <w:color w:val="000000" w:themeColor="text1"/>
        </w:rPr>
        <w:t>Kiti vaistai ir Amiptifree</w:t>
      </w:r>
    </w:p>
    <w:p w:rsidR="00C05CF7" w:rsidRDefault="00C05CF7" w:rsidP="00C05CF7">
      <w:pPr>
        <w:rPr>
          <w:rFonts w:ascii="Times New Roman" w:hAnsi="Times New Roman"/>
          <w:color w:val="000000" w:themeColor="text1"/>
        </w:rPr>
      </w:pPr>
      <w:r>
        <w:rPr>
          <w:rFonts w:ascii="Times New Roman" w:hAnsi="Times New Roman"/>
          <w:color w:val="000000" w:themeColor="text1"/>
        </w:rPr>
        <w:t>Amiptifree gali daryti įtaką kitų vartojamų vaistų veikimui arba gali būti paveiktas kitų vartojamų vaistų.</w:t>
      </w:r>
    </w:p>
    <w:p w:rsidR="00C05CF7" w:rsidRDefault="00C05CF7" w:rsidP="00C05CF7">
      <w:pPr>
        <w:rPr>
          <w:rFonts w:ascii="Times New Roman" w:hAnsi="Times New Roman"/>
          <w:bCs/>
          <w:color w:val="000000" w:themeColor="text1"/>
        </w:rPr>
      </w:pPr>
      <w:r>
        <w:rPr>
          <w:rFonts w:ascii="Times New Roman" w:hAnsi="Times New Roman"/>
          <w:color w:val="000000" w:themeColor="text1"/>
        </w:rPr>
        <w:t>Jeigu vartojate arba neseniai vartojote kitų vaistų, įskaitant akių lašus bei vaistus, įsigytus be recepto, pasakykite gydytojui arba vaistininkui. Tai ypač svarbu, jeigu jums tinka bet kuris iš šių atvejų:</w:t>
      </w:r>
    </w:p>
    <w:p w:rsidR="00C05CF7" w:rsidRDefault="00C05CF7" w:rsidP="00C05CF7">
      <w:pPr>
        <w:pStyle w:val="BodyText"/>
        <w:numPr>
          <w:ilvl w:val="0"/>
          <w:numId w:val="3"/>
        </w:numPr>
        <w:spacing w:after="0"/>
        <w:rPr>
          <w:color w:val="000000" w:themeColor="text1"/>
          <w:szCs w:val="22"/>
        </w:rPr>
      </w:pPr>
      <w:r>
        <w:rPr>
          <w:color w:val="000000" w:themeColor="text1"/>
          <w:szCs w:val="22"/>
        </w:rPr>
        <w:t>jūs vartojate kraujospūdį mažinančių vaistų arba vaistų nuo širdies ligų (tokių kaip kalcio kanalų blokatoriai, beta adrenoreceptorių blokatoriai arba digoksinas);</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vaistų sutrikusiam arba netolygiam širdies ritmui gydyti: kalcio kanalų blokatorius, beta adrenoreceptorių blokatorius arba digoksiną;</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monoaminooksidazės (MAO) inhibitorių depresijos gydymui;</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parasimpatomimetinių vaistų, kurių gali būti skirta jūsų šlapinimuisi palengvinti. Tam tikros grupės vaistai, kurie kartais vartojami normaliems žarnų judesiams atstatyti, taip pat yra parasimpatomimetiniai vaistai;</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narkotines medžiagas, tokias kaip morfinas, vidutinio arba stipraus skausmo gydymui;</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vaistus nuo cukrinio diabeto;</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vaistus depresijai gydyti, tokius kaip fluoksetinas arba paroksetinas;</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sulfonamidų;</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chinidiną (be širdies ligų gydymui jis taip pat gali būti vartojamas tam tikrų maliarijos rūšių gydymui);</w:t>
      </w:r>
    </w:p>
    <w:p w:rsidR="00C05CF7" w:rsidRDefault="00C05CF7" w:rsidP="00C05CF7">
      <w:pPr>
        <w:pStyle w:val="BodyText"/>
        <w:numPr>
          <w:ilvl w:val="0"/>
          <w:numId w:val="3"/>
        </w:numPr>
        <w:spacing w:after="0"/>
        <w:rPr>
          <w:color w:val="000000" w:themeColor="text1"/>
          <w:szCs w:val="22"/>
        </w:rPr>
      </w:pPr>
      <w:r>
        <w:rPr>
          <w:color w:val="000000" w:themeColor="text1"/>
          <w:szCs w:val="22"/>
        </w:rPr>
        <w:t>vartojate kitų akių lašų, kurių sudėtyje yra beta adrenoreceptorių blokatorių ar kitų karboanhidrazės inhibitorių, tokių kaip acetazolamidas.</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r>
        <w:rPr>
          <w:color w:val="000000" w:themeColor="text1"/>
          <w:szCs w:val="22"/>
        </w:rPr>
        <w:t>Toliau išvardyti vaistai neturėtų būti vartojami kartu su</w:t>
      </w:r>
      <w:r>
        <w:rPr>
          <w:bCs/>
          <w:szCs w:val="22"/>
        </w:rPr>
        <w:t xml:space="preserve"> Amiptifree:</w:t>
      </w:r>
    </w:p>
    <w:p w:rsidR="00C05CF7" w:rsidRDefault="00C05CF7" w:rsidP="00C05CF7">
      <w:pPr>
        <w:pStyle w:val="BodyText"/>
        <w:numPr>
          <w:ilvl w:val="0"/>
          <w:numId w:val="3"/>
        </w:numPr>
        <w:spacing w:after="0"/>
        <w:rPr>
          <w:color w:val="000000" w:themeColor="text1"/>
          <w:szCs w:val="22"/>
        </w:rPr>
      </w:pPr>
      <w:r>
        <w:rPr>
          <w:color w:val="000000" w:themeColor="text1"/>
          <w:szCs w:val="22"/>
        </w:rPr>
        <w:t>kiti akių lašai, kurių sudėtyje yra dorzolamidas ar kitų karboanhidrazės inhibitorių, tokių kaip acetazolamidas;</w:t>
      </w:r>
    </w:p>
    <w:p w:rsidR="00C05CF7" w:rsidRDefault="00C05CF7" w:rsidP="00C05CF7">
      <w:pPr>
        <w:pStyle w:val="BodyText"/>
        <w:numPr>
          <w:ilvl w:val="0"/>
          <w:numId w:val="3"/>
        </w:numPr>
        <w:spacing w:after="0"/>
        <w:rPr>
          <w:color w:val="000000" w:themeColor="text1"/>
          <w:szCs w:val="22"/>
        </w:rPr>
      </w:pPr>
      <w:r>
        <w:rPr>
          <w:color w:val="000000" w:themeColor="text1"/>
          <w:szCs w:val="22"/>
        </w:rPr>
        <w:t>kiti akių lašai, kurių sudėtyje yra beta adrenoreceptorių blokatorių.</w:t>
      </w:r>
    </w:p>
    <w:p w:rsidR="00C05CF7" w:rsidRDefault="00C05CF7" w:rsidP="00C05CF7">
      <w:pPr>
        <w:pStyle w:val="BodyText"/>
        <w:spacing w:after="0"/>
        <w:rPr>
          <w:color w:val="000000" w:themeColor="text1"/>
          <w:szCs w:val="22"/>
        </w:rPr>
      </w:pPr>
    </w:p>
    <w:p w:rsidR="00C05CF7" w:rsidRDefault="00C05CF7" w:rsidP="00C05CF7">
      <w:pPr>
        <w:pStyle w:val="Heading3"/>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Nėštumas ir žindymo laikotarpis</w:t>
      </w:r>
    </w:p>
    <w:p w:rsidR="00C05CF7" w:rsidRDefault="00C05CF7" w:rsidP="00C05CF7">
      <w:pPr>
        <w:pStyle w:val="BodyText"/>
        <w:spacing w:after="0"/>
        <w:rPr>
          <w:noProof/>
          <w:szCs w:val="22"/>
        </w:rPr>
      </w:pPr>
      <w:r>
        <w:rPr>
          <w:noProof/>
          <w:szCs w:val="22"/>
        </w:rPr>
        <w:t>Jeigu esate nėščia, žindote kūdikį, manote, kad galbūt esate nėščia, arba planuojate pastoti, tai prieš vartodama šį vaistą, pasitarkite su gydytoju arba vaistininku.</w:t>
      </w:r>
    </w:p>
    <w:p w:rsidR="00C05CF7" w:rsidRDefault="00C05CF7" w:rsidP="00C05CF7">
      <w:pPr>
        <w:pStyle w:val="BodyText"/>
        <w:spacing w:after="0"/>
        <w:rPr>
          <w:i/>
          <w:color w:val="000000" w:themeColor="text1"/>
          <w:szCs w:val="22"/>
          <w:u w:val="single"/>
        </w:rPr>
      </w:pPr>
    </w:p>
    <w:p w:rsidR="00C05CF7" w:rsidRDefault="00C05CF7" w:rsidP="00C05CF7">
      <w:pPr>
        <w:pStyle w:val="BodyText"/>
        <w:spacing w:after="0"/>
        <w:rPr>
          <w:color w:val="000000" w:themeColor="text1"/>
          <w:szCs w:val="22"/>
        </w:rPr>
      </w:pPr>
      <w:r>
        <w:rPr>
          <w:color w:val="000000" w:themeColor="text1"/>
          <w:szCs w:val="22"/>
        </w:rPr>
        <w:t>Nėštumas</w:t>
      </w:r>
    </w:p>
    <w:p w:rsidR="00C05CF7" w:rsidRDefault="00C05CF7" w:rsidP="00C05CF7">
      <w:pPr>
        <w:pStyle w:val="BodyText"/>
        <w:spacing w:after="0"/>
        <w:rPr>
          <w:noProof/>
          <w:szCs w:val="22"/>
        </w:rPr>
      </w:pPr>
      <w:r>
        <w:rPr>
          <w:color w:val="000000" w:themeColor="text1"/>
          <w:szCs w:val="22"/>
        </w:rPr>
        <w:t xml:space="preserve">Nevartokite </w:t>
      </w:r>
      <w:r>
        <w:rPr>
          <w:bCs/>
          <w:szCs w:val="22"/>
        </w:rPr>
        <w:t>Amiptifree</w:t>
      </w:r>
      <w:r>
        <w:rPr>
          <w:color w:val="000000" w:themeColor="text1"/>
          <w:szCs w:val="22"/>
        </w:rPr>
        <w:t xml:space="preserve"> nėštumo metu. Pasakykite savo gydytojui, </w:t>
      </w:r>
      <w:r>
        <w:rPr>
          <w:noProof/>
          <w:szCs w:val="22"/>
        </w:rPr>
        <w:t>jeigu esate nėščia arba planuojate pastoti.</w:t>
      </w:r>
    </w:p>
    <w:p w:rsidR="00C05CF7" w:rsidRDefault="00C05CF7" w:rsidP="00C05CF7">
      <w:pPr>
        <w:pStyle w:val="BodyText"/>
        <w:spacing w:after="0"/>
        <w:rPr>
          <w:i/>
          <w:color w:val="000000" w:themeColor="text1"/>
          <w:szCs w:val="22"/>
        </w:rPr>
      </w:pPr>
    </w:p>
    <w:p w:rsidR="00C05CF7" w:rsidRDefault="00C05CF7" w:rsidP="00C05CF7">
      <w:pPr>
        <w:pStyle w:val="BodyText"/>
        <w:spacing w:after="0"/>
        <w:rPr>
          <w:color w:val="000000" w:themeColor="text1"/>
          <w:szCs w:val="22"/>
        </w:rPr>
      </w:pPr>
      <w:r>
        <w:rPr>
          <w:color w:val="000000" w:themeColor="text1"/>
          <w:szCs w:val="22"/>
        </w:rPr>
        <w:t>Žindymo laikotarpis</w:t>
      </w:r>
    </w:p>
    <w:p w:rsidR="00C05CF7" w:rsidRDefault="00C05CF7" w:rsidP="00C05CF7">
      <w:pPr>
        <w:pStyle w:val="BodyText"/>
        <w:spacing w:after="0"/>
        <w:rPr>
          <w:noProof/>
          <w:szCs w:val="22"/>
        </w:rPr>
      </w:pPr>
      <w:r>
        <w:rPr>
          <w:color w:val="000000" w:themeColor="text1"/>
          <w:szCs w:val="22"/>
        </w:rPr>
        <w:t xml:space="preserve">Timololio gali patekti į motinos pieną. Jeigu gydymas </w:t>
      </w:r>
      <w:r>
        <w:rPr>
          <w:bCs/>
          <w:szCs w:val="22"/>
        </w:rPr>
        <w:t>Amiptifree</w:t>
      </w:r>
      <w:r>
        <w:rPr>
          <w:color w:val="000000" w:themeColor="text1"/>
          <w:szCs w:val="22"/>
        </w:rPr>
        <w:t xml:space="preserve"> reikalingas, žindymas nerekomenduojamas. Pasakykite savo gydytojui, </w:t>
      </w:r>
      <w:r>
        <w:rPr>
          <w:noProof/>
          <w:szCs w:val="22"/>
        </w:rPr>
        <w:t>jeigu žindote arba ketinate žindyti.</w:t>
      </w:r>
    </w:p>
    <w:p w:rsidR="00C05CF7" w:rsidRDefault="00C05CF7" w:rsidP="00C05CF7">
      <w:pPr>
        <w:pStyle w:val="BodyText"/>
        <w:spacing w:after="0"/>
        <w:rPr>
          <w:noProof/>
          <w:szCs w:val="22"/>
        </w:rPr>
      </w:pPr>
    </w:p>
    <w:p w:rsidR="00C05CF7" w:rsidRDefault="00C05CF7" w:rsidP="00C05CF7">
      <w:pPr>
        <w:pStyle w:val="BodyText"/>
        <w:spacing w:after="0"/>
        <w:rPr>
          <w:b/>
          <w:color w:val="000000" w:themeColor="text1"/>
          <w:szCs w:val="22"/>
        </w:rPr>
      </w:pPr>
      <w:r>
        <w:rPr>
          <w:b/>
          <w:color w:val="000000" w:themeColor="text1"/>
          <w:szCs w:val="22"/>
        </w:rPr>
        <w:t>Vairavimas ir mechanizmų valdymas</w:t>
      </w:r>
    </w:p>
    <w:p w:rsidR="00C05CF7" w:rsidRDefault="00C05CF7" w:rsidP="00C05CF7">
      <w:pPr>
        <w:pStyle w:val="BTEMEASMCA"/>
        <w:rPr>
          <w:bCs/>
        </w:rPr>
      </w:pPr>
      <w:r>
        <w:t xml:space="preserve">Poveikio gebėjimui vairuoti ir valdyti mechanizmus tyrimų neatlikta. Vartojant </w:t>
      </w:r>
      <w:r>
        <w:rPr>
          <w:bCs/>
        </w:rPr>
        <w:t>Amiptifree</w:t>
      </w:r>
      <w:r>
        <w:t xml:space="preserve"> galimas šalutinis poveikis, toks kaip vaizdo ryškumo sumažėjimas, kuris gali paveikti jūsų gebėjimą vairuoti ir valdyti mechanizmus.</w:t>
      </w:r>
      <w:r>
        <w:rPr>
          <w:bCs/>
        </w:rPr>
        <w:t xml:space="preserve"> Nevairuokite ir nevaldykite mechanizmų tol, kol nepasijusite gerai arba regėjimas taps normalus.</w:t>
      </w:r>
    </w:p>
    <w:p w:rsidR="00C05CF7" w:rsidRDefault="00C05CF7" w:rsidP="00C05CF7">
      <w:pPr>
        <w:pStyle w:val="BodyText"/>
        <w:spacing w:after="0"/>
        <w:rPr>
          <w:noProof/>
          <w:szCs w:val="22"/>
        </w:rPr>
      </w:pPr>
    </w:p>
    <w:p w:rsidR="00C05CF7" w:rsidRDefault="00C05CF7" w:rsidP="00C05CF7">
      <w:pPr>
        <w:pStyle w:val="BodyText"/>
        <w:spacing w:after="0"/>
        <w:rPr>
          <w:noProof/>
          <w:szCs w:val="22"/>
        </w:rPr>
      </w:pPr>
    </w:p>
    <w:p w:rsidR="00C05CF7" w:rsidRDefault="00C05CF7" w:rsidP="00C05CF7">
      <w:pPr>
        <w:pStyle w:val="Heading2"/>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ab/>
        <w:t>Kaip vartoti Amiptifree</w:t>
      </w:r>
    </w:p>
    <w:p w:rsidR="00C05CF7" w:rsidRDefault="00C05CF7" w:rsidP="00C05CF7">
      <w:pPr>
        <w:pStyle w:val="BodyText"/>
        <w:spacing w:after="0"/>
        <w:rPr>
          <w:noProof/>
          <w:szCs w:val="22"/>
        </w:rPr>
      </w:pPr>
    </w:p>
    <w:p w:rsidR="00C05CF7" w:rsidRDefault="00C05CF7" w:rsidP="00C05CF7">
      <w:pPr>
        <w:pStyle w:val="BodyText"/>
        <w:spacing w:after="0"/>
        <w:rPr>
          <w:color w:val="000000" w:themeColor="text1"/>
          <w:szCs w:val="22"/>
        </w:rPr>
      </w:pPr>
      <w:r>
        <w:rPr>
          <w:color w:val="000000" w:themeColor="text1"/>
          <w:szCs w:val="22"/>
        </w:rPr>
        <w:t>Amiptifree visada vartokite tiksliai taip, kaip nurodė Jūsų gydytojas. Jeigu abejojate, kreipkitės į savo gydytoją arba vaistininką.</w:t>
      </w:r>
    </w:p>
    <w:p w:rsidR="00C05CF7" w:rsidRDefault="00C05CF7" w:rsidP="00C05CF7">
      <w:pPr>
        <w:pStyle w:val="BodyText"/>
        <w:spacing w:after="0"/>
        <w:rPr>
          <w:noProof/>
          <w:szCs w:val="22"/>
        </w:rPr>
      </w:pPr>
    </w:p>
    <w:p w:rsidR="00C05CF7" w:rsidRDefault="00C05CF7" w:rsidP="00C05CF7">
      <w:pPr>
        <w:tabs>
          <w:tab w:val="left" w:pos="567"/>
        </w:tabs>
        <w:rPr>
          <w:rFonts w:ascii="Times New Roman" w:hAnsi="Times New Roman"/>
          <w:color w:val="000000" w:themeColor="text1"/>
        </w:rPr>
      </w:pPr>
      <w:r>
        <w:rPr>
          <w:rFonts w:ascii="Times New Roman" w:hAnsi="Times New Roman"/>
          <w:color w:val="000000" w:themeColor="text1"/>
        </w:rPr>
        <w:t>Tinkamą dozę ir vartojimo trukmę nustatys Jūsų gydytojas.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r>
        <w:rPr>
          <w:rFonts w:ascii="Times New Roman" w:hAnsi="Times New Roman"/>
          <w:color w:val="000000" w:themeColor="text1"/>
        </w:rPr>
        <w:t>Įprasta dozė yra vienas lašas ant pažeistos akies (-is) iš ryto ir vakare.</w:t>
      </w:r>
    </w:p>
    <w:p w:rsidR="00C05CF7" w:rsidRDefault="00C05CF7" w:rsidP="00C05CF7">
      <w:pPr>
        <w:pStyle w:val="BodyText"/>
        <w:spacing w:after="0"/>
        <w:rPr>
          <w:noProof/>
          <w:szCs w:val="22"/>
        </w:rPr>
      </w:pPr>
    </w:p>
    <w:p w:rsidR="00C05CF7" w:rsidRDefault="00C05CF7" w:rsidP="00C05CF7">
      <w:pPr>
        <w:rPr>
          <w:rFonts w:ascii="Times New Roman" w:hAnsi="Times New Roman"/>
          <w:color w:val="000000" w:themeColor="text1"/>
        </w:rPr>
      </w:pPr>
      <w:r>
        <w:rPr>
          <w:rFonts w:ascii="Times New Roman" w:hAnsi="Times New Roman"/>
          <w:color w:val="000000" w:themeColor="text1"/>
        </w:rPr>
        <w:t>Jeigu Amiptifree vartojate kartu su kitais akių lašais, tarp skirtingų vaistų lašinimo turi būti ne trumpesnė kaip 10 minučių pertrauka.</w:t>
      </w:r>
      <w:r>
        <w:rPr>
          <w:rFonts w:ascii="Times New Roman" w:hAnsi="Times New Roman"/>
        </w:rPr>
        <w:t xml:space="preserve"> Akių tepalai turi būti vartojami paskutiniai.</w:t>
      </w:r>
    </w:p>
    <w:p w:rsidR="00C05CF7" w:rsidRDefault="00C05CF7" w:rsidP="00C05CF7">
      <w:pPr>
        <w:rPr>
          <w:rFonts w:ascii="Times New Roman" w:hAnsi="Times New Roman"/>
          <w:color w:val="000000" w:themeColor="text1"/>
        </w:rPr>
      </w:pPr>
      <w:r>
        <w:rPr>
          <w:rFonts w:ascii="Times New Roman" w:hAnsi="Times New Roman"/>
          <w:color w:val="000000" w:themeColor="text1"/>
        </w:rPr>
        <w:t>Nekeiskite vaisto dozės, prieš tai nepasitarę su savo gydytoju.</w:t>
      </w:r>
    </w:p>
    <w:p w:rsidR="00C05CF7" w:rsidRDefault="00C05CF7" w:rsidP="00C05CF7">
      <w:pPr>
        <w:pStyle w:val="BodyText"/>
        <w:spacing w:after="0"/>
        <w:rPr>
          <w:noProof/>
          <w:szCs w:val="22"/>
        </w:rPr>
      </w:pPr>
    </w:p>
    <w:p w:rsidR="00C05CF7" w:rsidRDefault="00C05CF7" w:rsidP="00C05CF7">
      <w:pPr>
        <w:rPr>
          <w:rFonts w:ascii="Times New Roman" w:hAnsi="Times New Roman"/>
        </w:rPr>
      </w:pPr>
      <w:r>
        <w:rPr>
          <w:rFonts w:ascii="Times New Roman" w:hAnsi="Times New Roman"/>
        </w:rPr>
        <w:t xml:space="preserve">Amiptifree yra sterilus tirpalas, kuriame nėra konservantų. Žr. 6 skyrių - </w:t>
      </w:r>
      <w:r>
        <w:rPr>
          <w:rFonts w:ascii="Times New Roman" w:hAnsi="Times New Roman"/>
          <w:i/>
        </w:rPr>
        <w:t>Amiptifree išvaizda ir kiekis pakuotėje</w:t>
      </w:r>
      <w:r>
        <w:rPr>
          <w:rFonts w:ascii="Times New Roman" w:hAnsi="Times New Roman"/>
        </w:rPr>
        <w:t>.</w:t>
      </w:r>
    </w:p>
    <w:p w:rsidR="00C05CF7" w:rsidRDefault="00C05CF7" w:rsidP="00C05CF7">
      <w:pPr>
        <w:rPr>
          <w:rFonts w:ascii="Times New Roman" w:hAnsi="Times New Roman"/>
          <w:i/>
        </w:rPr>
      </w:pPr>
    </w:p>
    <w:p w:rsidR="00C05CF7" w:rsidRDefault="00C05CF7" w:rsidP="00C05CF7">
      <w:pPr>
        <w:keepNext/>
        <w:rPr>
          <w:rFonts w:ascii="Times New Roman" w:hAnsi="Times New Roman"/>
        </w:rPr>
      </w:pPr>
      <w:r>
        <w:rPr>
          <w:rFonts w:ascii="Times New Roman" w:hAnsi="Times New Roman"/>
          <w:i/>
        </w:rPr>
        <w:t>Prieš įlašinant akių lašų</w:t>
      </w:r>
      <w:r>
        <w:rPr>
          <w:rFonts w:ascii="Times New Roman" w:hAnsi="Times New Roman"/>
        </w:rPr>
        <w:t>:</w:t>
      </w:r>
    </w:p>
    <w:p w:rsidR="00C05CF7" w:rsidRDefault="00C05CF7" w:rsidP="00C05CF7">
      <w:pPr>
        <w:keepNext/>
        <w:rPr>
          <w:rFonts w:ascii="Times New Roman" w:hAnsi="Times New Roman"/>
        </w:rPr>
      </w:pPr>
      <w:r>
        <w:rPr>
          <w:rFonts w:ascii="Times New Roman" w:hAnsi="Times New Roman"/>
        </w:rPr>
        <w:t>- Pirmą kartą vartojant, prieš užlašinant lašą ant akių, pacientui reikia visų pirma patikrinti lašinamo tirpalo nutekėjimą iš buteliuko, lėtai nuspaudžiant buteliuką ir lašinant vieną lašą į orą, atokiau nuo akies.</w:t>
      </w:r>
    </w:p>
    <w:p w:rsidR="00C05CF7" w:rsidRDefault="00C05CF7" w:rsidP="00C05CF7">
      <w:pPr>
        <w:rPr>
          <w:rFonts w:ascii="Times New Roman" w:hAnsi="Times New Roman"/>
        </w:rPr>
      </w:pPr>
      <w:r>
        <w:rPr>
          <w:rFonts w:ascii="Times New Roman" w:hAnsi="Times New Roman"/>
        </w:rPr>
        <w:t>- Kai pacientas yra įsitikinęs, kad gali lašinti vieną lašą vienu metu, jis turi pasirinkti poziciją, kuri jam būtų patogiausia lašinimui (gali atsisėsti, atsigulti ant nugaros arba stovėti prieš veidrodį).</w:t>
      </w:r>
    </w:p>
    <w:p w:rsidR="00C05CF7" w:rsidRDefault="00C05CF7" w:rsidP="00C05CF7">
      <w:pPr>
        <w:rPr>
          <w:rFonts w:ascii="Times New Roman" w:hAnsi="Times New Roman"/>
        </w:rPr>
      </w:pPr>
    </w:p>
    <w:p w:rsidR="00C05CF7" w:rsidRDefault="00C05CF7" w:rsidP="00C05CF7">
      <w:pPr>
        <w:rPr>
          <w:rFonts w:ascii="Times New Roman" w:hAnsi="Times New Roman"/>
        </w:rPr>
      </w:pPr>
      <w:r>
        <w:rPr>
          <w:rFonts w:ascii="Times New Roman" w:hAnsi="Times New Roman"/>
          <w:i/>
        </w:rPr>
        <w:t>Vartojimo instrukcija</w:t>
      </w:r>
      <w:r>
        <w:rPr>
          <w:rFonts w:ascii="Times New Roman" w:hAnsi="Times New Roman"/>
        </w:rPr>
        <w:t>:</w:t>
      </w:r>
    </w:p>
    <w:p w:rsidR="00C05CF7" w:rsidRDefault="00C05CF7" w:rsidP="00C05CF7">
      <w:pPr>
        <w:tabs>
          <w:tab w:val="left" w:pos="567"/>
        </w:tabs>
        <w:rPr>
          <w:rFonts w:ascii="Times New Roman" w:hAnsi="Times New Roman"/>
        </w:rPr>
      </w:pPr>
      <w:r>
        <w:rPr>
          <w:rFonts w:ascii="Times New Roman" w:hAnsi="Times New Roman"/>
        </w:rPr>
        <w:t>1.</w:t>
      </w:r>
      <w:r>
        <w:rPr>
          <w:rFonts w:ascii="Times New Roman" w:hAnsi="Times New Roman"/>
        </w:rPr>
        <w:tab/>
        <w:t>Prieš vartojant šį vaistą, pacientas turi atidžiai nusiplauti rankas.</w:t>
      </w:r>
    </w:p>
    <w:p w:rsidR="00C05CF7" w:rsidRDefault="00C05CF7" w:rsidP="00C05CF7">
      <w:pPr>
        <w:tabs>
          <w:tab w:val="left" w:pos="567"/>
        </w:tabs>
        <w:rPr>
          <w:rFonts w:ascii="Times New Roman" w:hAnsi="Times New Roman"/>
        </w:rPr>
      </w:pPr>
      <w:r>
        <w:rPr>
          <w:rFonts w:ascii="Times New Roman" w:hAnsi="Times New Roman"/>
        </w:rPr>
        <w:t>2.</w:t>
      </w:r>
      <w:r>
        <w:rPr>
          <w:rFonts w:ascii="Times New Roman" w:hAnsi="Times New Roman"/>
        </w:rPr>
        <w:tab/>
        <w:t>Jeigu pakuotė ar buteliukas pažeisti, vaisto vartoti negalima.</w:t>
      </w:r>
    </w:p>
    <w:p w:rsidR="00C05CF7" w:rsidRDefault="00C05CF7" w:rsidP="00C05CF7">
      <w:pPr>
        <w:tabs>
          <w:tab w:val="left" w:pos="567"/>
        </w:tabs>
        <w:ind w:left="567" w:hanging="567"/>
        <w:rPr>
          <w:rFonts w:ascii="Times New Roman" w:hAnsi="Times New Roman"/>
        </w:rPr>
      </w:pPr>
      <w:r>
        <w:rPr>
          <w:rFonts w:ascii="Times New Roman" w:hAnsi="Times New Roman"/>
        </w:rPr>
        <w:t>3.</w:t>
      </w:r>
      <w:r>
        <w:rPr>
          <w:rFonts w:ascii="Times New Roman" w:hAnsi="Times New Roman"/>
        </w:rPr>
        <w:tab/>
        <w:t>Vaisto vartojant pirmąjį kartą, prieš atsukant dangtelį reikia įsitikinti, kad apsauginis žiedas ant dangtelio nėra pažeistas. Pacientas turėtų jausti nežymų pasipriešinimą, kol nuo pažeidimo saugantis žiedas nulūžta (žr. 1 pav.).</w:t>
      </w:r>
    </w:p>
    <w:p w:rsidR="00C05CF7" w:rsidRDefault="00C05CF7" w:rsidP="00C05CF7">
      <w:pPr>
        <w:tabs>
          <w:tab w:val="left" w:pos="567"/>
        </w:tabs>
        <w:ind w:left="567" w:hanging="567"/>
        <w:rPr>
          <w:rFonts w:ascii="Times New Roman" w:hAnsi="Times New Roman"/>
        </w:rPr>
      </w:pPr>
      <w:r>
        <w:rPr>
          <w:rFonts w:ascii="Times New Roman" w:hAnsi="Times New Roman"/>
        </w:rPr>
        <w:t>4.</w:t>
      </w:r>
      <w:r>
        <w:rPr>
          <w:rFonts w:ascii="Times New Roman" w:hAnsi="Times New Roman"/>
        </w:rPr>
        <w:tab/>
        <w:t>Jei nuo pažeidimo saugantis žiedas atsilaisvino, jį reikia išmesti, nes jis gali patekti į akį ir sukelti traumų.</w:t>
      </w:r>
    </w:p>
    <w:p w:rsidR="00C05CF7" w:rsidRDefault="00C05CF7" w:rsidP="00C05CF7">
      <w:pPr>
        <w:tabs>
          <w:tab w:val="left" w:pos="567"/>
        </w:tabs>
        <w:ind w:left="567" w:hanging="567"/>
        <w:rPr>
          <w:rFonts w:ascii="Times New Roman" w:hAnsi="Times New Roman"/>
        </w:rPr>
      </w:pPr>
      <w:r>
        <w:rPr>
          <w:rFonts w:ascii="Times New Roman" w:hAnsi="Times New Roman"/>
        </w:rPr>
        <w:t>5.</w:t>
      </w:r>
      <w:r>
        <w:rPr>
          <w:rFonts w:ascii="Times New Roman" w:hAnsi="Times New Roman"/>
        </w:rPr>
        <w:tab/>
        <w:t>Pacientui reikia atlošti galvą atgal ir patraukti apatinį voką šiek tiek žemyn taip, kad tarp voko ir akies susiformuotų kišenė (žr. 2 pav.).</w:t>
      </w:r>
      <w:r>
        <w:t xml:space="preserve"> (</w:t>
      </w:r>
      <w:r>
        <w:rPr>
          <w:rFonts w:ascii="Times New Roman" w:hAnsi="Times New Roman"/>
        </w:rPr>
        <w:t>Vengti kontakto tarp buteliuko galiuko ir akies, vokų ar pirštų.)</w:t>
      </w:r>
    </w:p>
    <w:p w:rsidR="00C05CF7" w:rsidRDefault="00C05CF7" w:rsidP="00C05CF7">
      <w:pPr>
        <w:tabs>
          <w:tab w:val="left" w:pos="567"/>
        </w:tabs>
        <w:ind w:left="567" w:hanging="567"/>
        <w:rPr>
          <w:rFonts w:ascii="Times New Roman" w:hAnsi="Times New Roman"/>
        </w:rPr>
      </w:pPr>
      <w:r>
        <w:rPr>
          <w:rFonts w:ascii="Times New Roman" w:hAnsi="Times New Roman"/>
        </w:rPr>
        <w:t>6.</w:t>
      </w:r>
      <w:r>
        <w:rPr>
          <w:rFonts w:ascii="Times New Roman" w:hAnsi="Times New Roman"/>
        </w:rPr>
        <w:tab/>
        <w:t>Lėtai spaudžiant buteliuką, į maišelį reikia įlašinti vieną lašą. Pacientas turi švelniai spausti buteliuką per vidurį tol, kol lašas įlašės ant akies. Gali būti keleto sekundžių uždelsimas tarp nuspaudimo momento ir lašo atsiskyrimo. Pacientas neturėtų buteliuko spausti pernelyg stipriai (žr. 3 pav.). Jeigu pacientas nėra tikras, kaip teisingai vartoti vaistą, jis turi pasitarti su gydytoju, vaistininku arba slaugytoju.</w:t>
      </w:r>
    </w:p>
    <w:p w:rsidR="00C05CF7" w:rsidRDefault="00C05CF7" w:rsidP="00C05CF7">
      <w:pPr>
        <w:tabs>
          <w:tab w:val="left" w:pos="567"/>
        </w:tabs>
        <w:ind w:left="567" w:hanging="567"/>
        <w:rPr>
          <w:rFonts w:ascii="Times New Roman" w:hAnsi="Times New Roman"/>
        </w:rPr>
      </w:pPr>
      <w:r>
        <w:rPr>
          <w:rFonts w:ascii="Times New Roman" w:hAnsi="Times New Roman"/>
        </w:rPr>
        <w:t>7.</w:t>
      </w:r>
      <w:r>
        <w:rPr>
          <w:rFonts w:ascii="Times New Roman" w:hAnsi="Times New Roman"/>
        </w:rPr>
        <w:tab/>
        <w:t>Tuomet pacientas turi nuspausti ašarų lataką apie 2 minutes (paspaudus pirštu nuo akies kampo link nosies) ir užmerkti savo akį (-is) bei laikyti ją / jas užmerktas per visą šį laiką. Tai užtikrina, kad lašas bus sugertas akies ir kad vaistinio preparato tūris, nutekėjęs ašarų lataku į nosį, tikriausiai bus kuo mažesnis.</w:t>
      </w:r>
    </w:p>
    <w:p w:rsidR="00C05CF7" w:rsidRDefault="00C05CF7" w:rsidP="00C05CF7">
      <w:pPr>
        <w:tabs>
          <w:tab w:val="left" w:pos="567"/>
        </w:tabs>
        <w:rPr>
          <w:rFonts w:ascii="Times New Roman" w:hAnsi="Times New Roman"/>
        </w:rPr>
      </w:pPr>
      <w:r>
        <w:rPr>
          <w:rFonts w:ascii="Times New Roman" w:hAnsi="Times New Roman"/>
        </w:rPr>
        <w:t>8.</w:t>
      </w:r>
      <w:r>
        <w:rPr>
          <w:rFonts w:ascii="Times New Roman" w:hAnsi="Times New Roman"/>
        </w:rPr>
        <w:tab/>
        <w:t>Vengti kontakto tarp buteliuko galiuko ir akies, vokų ar pirštų.</w:t>
      </w:r>
    </w:p>
    <w:p w:rsidR="00C05CF7" w:rsidRDefault="00C05CF7" w:rsidP="00C05CF7">
      <w:pPr>
        <w:tabs>
          <w:tab w:val="left" w:pos="567"/>
        </w:tabs>
        <w:rPr>
          <w:rFonts w:ascii="Times New Roman" w:hAnsi="Times New Roman"/>
        </w:rPr>
      </w:pPr>
      <w:r>
        <w:rPr>
          <w:rFonts w:ascii="Times New Roman" w:hAnsi="Times New Roman"/>
        </w:rPr>
        <w:t>9.</w:t>
      </w:r>
      <w:r>
        <w:rPr>
          <w:rFonts w:ascii="Times New Roman" w:hAnsi="Times New Roman"/>
        </w:rPr>
        <w:tab/>
        <w:t>Pacientas turi pakartoti 5, 6 ir 7 veiksmus su kita akimi, jeigu taip daryti nurodė gydytojas.</w:t>
      </w:r>
    </w:p>
    <w:p w:rsidR="00C05CF7" w:rsidRDefault="00C05CF7" w:rsidP="00C05CF7">
      <w:pPr>
        <w:tabs>
          <w:tab w:val="left" w:pos="567"/>
        </w:tabs>
        <w:ind w:left="567" w:hanging="567"/>
        <w:rPr>
          <w:rFonts w:ascii="Times New Roman" w:hAnsi="Times New Roman"/>
        </w:rPr>
      </w:pPr>
      <w:r>
        <w:rPr>
          <w:rFonts w:ascii="Times New Roman" w:hAnsi="Times New Roman"/>
        </w:rPr>
        <w:t>10.</w:t>
      </w:r>
      <w:r>
        <w:rPr>
          <w:rFonts w:ascii="Times New Roman" w:hAnsi="Times New Roman"/>
        </w:rPr>
        <w:tab/>
        <w:t>Po vaisto vartojimo ir prieš uždarymą buteliuką reikia supurtyti staigiu vienkartiniu judesiu žemyn, neliečiant lašintuvo galiuko, tam, kad pašalinti bet kokį skysčio likutį galiuke. Tai būtina, siekiant užtikrinti tikslų vėlesnių lašų dozavimą. Sulašinus vaisto, reikia užsukti dangtelį ant buteliuko (žr. 4 pav.).</w:t>
      </w:r>
    </w:p>
    <w:p w:rsidR="00C05CF7" w:rsidRDefault="00C05CF7" w:rsidP="00C05CF7">
      <w:pPr>
        <w:rPr>
          <w:rFonts w:ascii="Times New Roman" w:hAnsi="Times New Roman"/>
        </w:rPr>
      </w:pPr>
    </w:p>
    <w:p w:rsidR="00C05CF7" w:rsidRDefault="00C05CF7" w:rsidP="00C05CF7">
      <w:pPr>
        <w:rPr>
          <w:rFonts w:ascii="Times New Roman" w:hAnsi="Times New Roman"/>
        </w:rPr>
      </w:pPr>
      <w:r>
        <w:rPr>
          <w:rFonts w:ascii="Times New Roman" w:hAnsi="Times New Roman"/>
        </w:rPr>
        <w:t>Jei lašas nepateko ant paciento akies, jam reikia pabandyti dar kartą.</w:t>
      </w:r>
    </w:p>
    <w:p w:rsidR="00C05CF7" w:rsidRDefault="00C05CF7" w:rsidP="00C05CF7">
      <w:pPr>
        <w:rPr>
          <w:rFonts w:ascii="Times New Roman" w:hAnsi="Times New Roman"/>
        </w:rPr>
      </w:pPr>
    </w:p>
    <w:p w:rsidR="00C05CF7" w:rsidRDefault="00C05CF7" w:rsidP="00C05CF7">
      <w:pPr>
        <w:rPr>
          <w:rFonts w:ascii="Times New Roman" w:hAnsi="Times New Roman"/>
        </w:rPr>
      </w:pPr>
      <w:r>
        <w:rPr>
          <w:rFonts w:ascii="Times New Roman" w:hAnsi="Times New Roman"/>
        </w:rPr>
        <w:t>Užspaudus ašarų nosies lataką arba 2 minutes užmerkiant akių vokus, sisteminė absorbcija yra sumažinama. Tai gali sumažinti sisteminius šalutinius poveikius ir padidinti vietinį poveikį.</w:t>
      </w:r>
    </w:p>
    <w:p w:rsidR="00C05CF7" w:rsidRDefault="00C05CF7" w:rsidP="00C05CF7">
      <w:pPr>
        <w:rPr>
          <w:rFonts w:ascii="Times New Roman" w:hAnsi="Times New Roman"/>
        </w:rPr>
      </w:pPr>
    </w:p>
    <w:p w:rsidR="00C05CF7" w:rsidRDefault="00C05CF7" w:rsidP="00C05CF7">
      <w:pPr>
        <w:autoSpaceDE w:val="0"/>
        <w:autoSpaceDN w:val="0"/>
        <w:adjustRightInd w:val="0"/>
        <w:rPr>
          <w:rFonts w:ascii="Times New Roman" w:hAnsi="Times New Roman"/>
          <w:i/>
          <w:noProof/>
        </w:rPr>
      </w:pPr>
      <w:r>
        <w:rPr>
          <w:rFonts w:ascii="Times New Roman" w:hAnsi="Times New Roman"/>
          <w:b/>
          <w:noProof/>
        </w:rPr>
        <w:drawing>
          <wp:inline distT="0" distB="0" distL="0" distR="0" wp14:anchorId="43E5AB68" wp14:editId="5CED8E65">
            <wp:extent cx="1123315" cy="715010"/>
            <wp:effectExtent l="0" t="0" r="635"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315" cy="715010"/>
                    </a:xfrm>
                    <a:prstGeom prst="rect">
                      <a:avLst/>
                    </a:prstGeom>
                    <a:noFill/>
                    <a:ln>
                      <a:noFill/>
                    </a:ln>
                  </pic:spPr>
                </pic:pic>
              </a:graphicData>
            </a:graphic>
          </wp:inline>
        </w:drawing>
      </w:r>
      <w:r>
        <w:rPr>
          <w:rFonts w:ascii="Times New Roman" w:hAnsi="Times New Roman"/>
          <w:b/>
          <w:bCs/>
        </w:rPr>
        <w:tab/>
      </w:r>
      <w:r>
        <w:rPr>
          <w:rFonts w:ascii="Times New Roman" w:hAnsi="Times New Roman"/>
          <w:b/>
          <w:noProof/>
        </w:rPr>
        <w:drawing>
          <wp:inline distT="0" distB="0" distL="0" distR="0" wp14:anchorId="207C9BD3" wp14:editId="6772AD0A">
            <wp:extent cx="1084580" cy="627380"/>
            <wp:effectExtent l="38100" t="38100" r="39370" b="393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627380"/>
                    </a:xfrm>
                    <a:prstGeom prst="rect">
                      <a:avLst/>
                    </a:prstGeom>
                    <a:noFill/>
                    <a:ln w="28575" cmpd="sng">
                      <a:solidFill>
                        <a:srgbClr val="000000"/>
                      </a:solidFill>
                      <a:miter lim="800000"/>
                      <a:headEnd/>
                      <a:tailEnd/>
                    </a:ln>
                    <a:effectLst/>
                  </pic:spPr>
                </pic:pic>
              </a:graphicData>
            </a:graphic>
          </wp:inline>
        </w:drawing>
      </w:r>
      <w:r>
        <w:rPr>
          <w:rFonts w:ascii="Times New Roman" w:hAnsi="Times New Roman"/>
          <w:b/>
          <w:bCs/>
        </w:rPr>
        <w:tab/>
      </w:r>
      <w:r>
        <w:rPr>
          <w:rFonts w:ascii="Times New Roman" w:hAnsi="Times New Roman"/>
          <w:b/>
          <w:noProof/>
        </w:rPr>
        <w:drawing>
          <wp:inline distT="0" distB="0" distL="0" distR="0" wp14:anchorId="35654C19" wp14:editId="0A253167">
            <wp:extent cx="992505" cy="6661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505" cy="666115"/>
                    </a:xfrm>
                    <a:prstGeom prst="rect">
                      <a:avLst/>
                    </a:prstGeom>
                    <a:noFill/>
                    <a:ln>
                      <a:noFill/>
                    </a:ln>
                  </pic:spPr>
                </pic:pic>
              </a:graphicData>
            </a:graphic>
          </wp:inline>
        </w:drawing>
      </w:r>
      <w:r>
        <w:rPr>
          <w:rFonts w:ascii="Times New Roman" w:hAnsi="Times New Roman"/>
          <w:b/>
          <w:bCs/>
        </w:rPr>
        <w:tab/>
      </w:r>
      <w:r>
        <w:rPr>
          <w:rFonts w:ascii="Times New Roman" w:hAnsi="Times New Roman"/>
          <w:b/>
          <w:noProof/>
        </w:rPr>
        <w:drawing>
          <wp:inline distT="0" distB="0" distL="0" distR="0" wp14:anchorId="4FE4F97C" wp14:editId="1E43E550">
            <wp:extent cx="1045845" cy="6858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685800"/>
                    </a:xfrm>
                    <a:prstGeom prst="rect">
                      <a:avLst/>
                    </a:prstGeom>
                    <a:noFill/>
                    <a:ln>
                      <a:noFill/>
                    </a:ln>
                  </pic:spPr>
                </pic:pic>
              </a:graphicData>
            </a:graphic>
          </wp:inline>
        </w:drawing>
      </w:r>
    </w:p>
    <w:p w:rsidR="00C05CF7" w:rsidRDefault="00C05CF7" w:rsidP="00C05CF7">
      <w:pPr>
        <w:tabs>
          <w:tab w:val="left" w:pos="284"/>
          <w:tab w:val="left" w:pos="2127"/>
          <w:tab w:val="left" w:pos="2410"/>
          <w:tab w:val="left" w:pos="4395"/>
          <w:tab w:val="left" w:pos="4678"/>
          <w:tab w:val="left" w:pos="6521"/>
          <w:tab w:val="left" w:pos="6804"/>
        </w:tabs>
        <w:autoSpaceDE w:val="0"/>
        <w:autoSpaceDN w:val="0"/>
        <w:adjustRightInd w:val="0"/>
        <w:rPr>
          <w:rFonts w:ascii="Times New Roman" w:hAnsi="Times New Roman"/>
          <w:bCs/>
        </w:rPr>
      </w:pPr>
      <w:r>
        <w:rPr>
          <w:rFonts w:ascii="Times New Roman" w:hAnsi="Times New Roman"/>
          <w:i/>
          <w:noProof/>
        </w:rPr>
        <w:tab/>
        <w:t>Pav. 1</w:t>
      </w:r>
      <w:r>
        <w:rPr>
          <w:rFonts w:ascii="Times New Roman" w:hAnsi="Times New Roman"/>
          <w:i/>
          <w:noProof/>
        </w:rPr>
        <w:tab/>
      </w:r>
      <w:r>
        <w:rPr>
          <w:rFonts w:ascii="Times New Roman" w:hAnsi="Times New Roman"/>
          <w:i/>
          <w:noProof/>
        </w:rPr>
        <w:tab/>
        <w:t>Pav. 2</w:t>
      </w:r>
      <w:r>
        <w:rPr>
          <w:rFonts w:ascii="Times New Roman" w:hAnsi="Times New Roman"/>
          <w:i/>
          <w:noProof/>
        </w:rPr>
        <w:tab/>
      </w:r>
      <w:r>
        <w:rPr>
          <w:rFonts w:ascii="Times New Roman" w:hAnsi="Times New Roman"/>
          <w:i/>
          <w:noProof/>
        </w:rPr>
        <w:tab/>
        <w:t>Pav. 3</w:t>
      </w:r>
      <w:r>
        <w:rPr>
          <w:rFonts w:ascii="Times New Roman" w:hAnsi="Times New Roman"/>
          <w:i/>
          <w:noProof/>
        </w:rPr>
        <w:tab/>
      </w:r>
      <w:r>
        <w:rPr>
          <w:rFonts w:ascii="Times New Roman" w:hAnsi="Times New Roman"/>
          <w:i/>
          <w:noProof/>
        </w:rPr>
        <w:tab/>
        <w:t>Pav. 4</w:t>
      </w:r>
    </w:p>
    <w:p w:rsidR="00C05CF7" w:rsidRDefault="00C05CF7" w:rsidP="00C05CF7">
      <w:pPr>
        <w:rPr>
          <w:rFonts w:ascii="Times New Roman" w:hAnsi="Times New Roman"/>
        </w:rPr>
      </w:pPr>
    </w:p>
    <w:p w:rsidR="00C05CF7" w:rsidRDefault="00C05CF7" w:rsidP="00C05CF7">
      <w:pPr>
        <w:pStyle w:val="BodyText"/>
        <w:keepNext/>
        <w:spacing w:after="0"/>
        <w:rPr>
          <w:b/>
          <w:color w:val="000000" w:themeColor="text1"/>
          <w:szCs w:val="22"/>
        </w:rPr>
      </w:pPr>
      <w:r>
        <w:rPr>
          <w:b/>
          <w:szCs w:val="22"/>
        </w:rPr>
        <w:t>Ką daryti pavartojus per didelę Amiptifree dozę?</w:t>
      </w:r>
    </w:p>
    <w:p w:rsidR="00C05CF7" w:rsidRDefault="00C05CF7" w:rsidP="00C05CF7">
      <w:pPr>
        <w:pStyle w:val="BodyText"/>
        <w:keepNext/>
        <w:spacing w:after="0"/>
        <w:rPr>
          <w:color w:val="000000" w:themeColor="text1"/>
          <w:szCs w:val="22"/>
        </w:rPr>
      </w:pPr>
      <w:r>
        <w:rPr>
          <w:color w:val="000000" w:themeColor="text1"/>
          <w:szCs w:val="22"/>
        </w:rPr>
        <w:t>Jei įlašinote į savo akį per daug lašų arba bet kokį buteliuke esančio tirpalo kiekį nurijote, tarp įvairių požymių, jums gali atsirasti apsvaigimas, pasunkėti kvėpavimas arba galite pajusti, jog jūsų širdis plaka rečiau. Nedelsiant kreipkitės į gydytoją.</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r>
        <w:rPr>
          <w:b/>
          <w:szCs w:val="22"/>
        </w:rPr>
        <w:t>Pamiršus pavartoti</w:t>
      </w:r>
      <w:r>
        <w:rPr>
          <w:szCs w:val="22"/>
        </w:rPr>
        <w:t xml:space="preserve"> </w:t>
      </w:r>
      <w:r>
        <w:rPr>
          <w:b/>
          <w:szCs w:val="22"/>
        </w:rPr>
        <w:t>Amiptifree</w:t>
      </w:r>
    </w:p>
    <w:p w:rsidR="00C05CF7" w:rsidRDefault="00C05CF7" w:rsidP="00C05CF7">
      <w:pPr>
        <w:pStyle w:val="BodyText"/>
        <w:spacing w:after="0"/>
        <w:rPr>
          <w:color w:val="000000" w:themeColor="text1"/>
          <w:szCs w:val="22"/>
        </w:rPr>
      </w:pPr>
      <w:r>
        <w:rPr>
          <w:color w:val="000000" w:themeColor="text1"/>
          <w:szCs w:val="22"/>
        </w:rPr>
        <w:t>Svarbu tiksliai vartoti vaistą kaip nurodė gydytojas. Praleidus dozę, ją reikia suvartoti kiek galima greičiau. Jeigu beveik atėjo laikas vartoti kitą dozę, praleiskite nesuvartotą dozę ir toliau vaisto vartokite taip, kaip paskirta. Negalima vartoti dvigubos dozės norint kompensuoti praleistą dozę.</w:t>
      </w:r>
    </w:p>
    <w:p w:rsidR="00C05CF7" w:rsidRDefault="00C05CF7" w:rsidP="00C05CF7">
      <w:pPr>
        <w:pStyle w:val="BodyText"/>
        <w:spacing w:after="0"/>
        <w:rPr>
          <w:color w:val="000000" w:themeColor="text1"/>
          <w:szCs w:val="22"/>
        </w:rPr>
      </w:pPr>
    </w:p>
    <w:p w:rsidR="00C05CF7" w:rsidRDefault="00C05CF7" w:rsidP="00C05CF7">
      <w:pPr>
        <w:pStyle w:val="BodyText"/>
        <w:spacing w:after="0"/>
        <w:rPr>
          <w:b/>
          <w:color w:val="000000" w:themeColor="text1"/>
          <w:szCs w:val="22"/>
        </w:rPr>
      </w:pPr>
      <w:r>
        <w:rPr>
          <w:b/>
          <w:szCs w:val="22"/>
        </w:rPr>
        <w:t>Nustojus vartoti Amiptifree</w:t>
      </w:r>
    </w:p>
    <w:p w:rsidR="00C05CF7" w:rsidRDefault="00C05CF7" w:rsidP="00C05CF7">
      <w:pPr>
        <w:pStyle w:val="BTEMEASMCA"/>
      </w:pPr>
      <w:r>
        <w:t>Jeigu norite nutraukti vaisto vartojimą, pirmiausia pasitarkite su gydytoju.</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r>
        <w:rPr>
          <w:color w:val="000000" w:themeColor="text1"/>
          <w:szCs w:val="22"/>
        </w:rPr>
        <w:t>Jeigu kiltų daugiau klausimų dėl šio vaisto vartojimo, kreipkitės į gydytoją arba vaistininką.</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p>
    <w:p w:rsidR="00C05CF7" w:rsidRDefault="00C05CF7" w:rsidP="00C05CF7">
      <w:pPr>
        <w:pStyle w:val="Heading2"/>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ab/>
        <w:t>Galimas šalutinis poveikis</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r>
        <w:rPr>
          <w:color w:val="000000" w:themeColor="text1"/>
          <w:szCs w:val="22"/>
        </w:rPr>
        <w:t>Šis vaistas, kaip ir visi kiti, gali sukelti šalutinį poveikį, nors jis pasireiškia ne visiems žmonėms.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b/>
          <w:color w:val="000000" w:themeColor="text1"/>
        </w:rPr>
      </w:pPr>
      <w:r>
        <w:rPr>
          <w:rFonts w:ascii="Times New Roman" w:hAnsi="Times New Roman"/>
          <w:b/>
          <w:color w:val="000000" w:themeColor="text1"/>
        </w:rPr>
        <w:t>Jei jums atsiranda alerginių reakcijų, įskaitant dilgėlinę ar niežtintį išbėrimą, vietinis ir išplitęs išbėrimas, niežėjimas, veido, lūpų, liežuvio ir (arba) ryklės patinimas, kuris gali apsunkinti kvėpavimą arba rijimą, krūtinės skausmas, dusulys, prakaitavimas, nerimo jausmas, pykinimas (širdies priepuolio simptomai) nutraukite Amiptifree vartojimą ir nedelsiant kreipkitės į gydytoją.</w:t>
      </w:r>
    </w:p>
    <w:p w:rsidR="00C05CF7" w:rsidRDefault="00C05CF7" w:rsidP="00C05CF7">
      <w:pPr>
        <w:rPr>
          <w:rFonts w:ascii="Times New Roman" w:hAnsi="Times New Roman"/>
          <w:color w:val="000000" w:themeColor="text1"/>
        </w:rPr>
      </w:pPr>
    </w:p>
    <w:p w:rsidR="00C05CF7" w:rsidRDefault="00C05CF7" w:rsidP="00C05CF7">
      <w:pPr>
        <w:pStyle w:val="BTEMEASMCA"/>
      </w:pPr>
      <w:r>
        <w:t>Vartojant dorzolamido hidrochlorido ir timololio maleato derinį be konservantų priedo arba jo sudėtyje esančias veikliąsias medžiagas, klinikinių tyrimų metu ir po to, kai vaistas pateko į rinką, pastebėti šie šalutinio poveikio požymiai.</w:t>
      </w:r>
    </w:p>
    <w:p w:rsidR="00C05CF7" w:rsidRDefault="00C05CF7" w:rsidP="00C05CF7">
      <w:pPr>
        <w:rPr>
          <w:rFonts w:ascii="Times New Roman" w:hAnsi="Times New Roman"/>
          <w:color w:val="000000" w:themeColor="text1"/>
        </w:rPr>
      </w:pPr>
    </w:p>
    <w:p w:rsidR="00C05CF7" w:rsidRDefault="00C05CF7" w:rsidP="00C05CF7">
      <w:pPr>
        <w:tabs>
          <w:tab w:val="left" w:pos="9071"/>
        </w:tabs>
        <w:rPr>
          <w:rFonts w:ascii="Times New Roman" w:hAnsi="Times New Roman"/>
          <w:color w:val="000000" w:themeColor="text1"/>
          <w:u w:val="single"/>
        </w:rPr>
      </w:pPr>
      <w:r>
        <w:rPr>
          <w:rFonts w:ascii="Times New Roman" w:hAnsi="Times New Roman"/>
          <w:color w:val="000000" w:themeColor="text1"/>
          <w:u w:val="single"/>
        </w:rPr>
        <w:t>Labai dažnas šalutinis poveikis (pasitaiko daugiau negu 1 iš 10 pacientų)</w:t>
      </w:r>
    </w:p>
    <w:p w:rsidR="00C05CF7" w:rsidRDefault="00C05CF7" w:rsidP="00C05CF7">
      <w:pPr>
        <w:pStyle w:val="ListParagraph"/>
        <w:numPr>
          <w:ilvl w:val="0"/>
          <w:numId w:val="3"/>
        </w:numPr>
        <w:rPr>
          <w:rFonts w:ascii="Times New Roman" w:hAnsi="Times New Roman"/>
          <w:color w:val="000000" w:themeColor="text1"/>
          <w:sz w:val="22"/>
          <w:szCs w:val="22"/>
        </w:rPr>
      </w:pPr>
      <w:r>
        <w:rPr>
          <w:rFonts w:ascii="Times New Roman" w:hAnsi="Times New Roman"/>
          <w:color w:val="000000" w:themeColor="text1"/>
          <w:sz w:val="22"/>
          <w:szCs w:val="22"/>
        </w:rPr>
        <w:t>deginimo ir dilginimo pojūtis akyje (-yse), skonio pakitimas.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u w:val="single"/>
        </w:rPr>
      </w:pPr>
      <w:r>
        <w:rPr>
          <w:rFonts w:ascii="Times New Roman" w:hAnsi="Times New Roman"/>
          <w:color w:val="000000" w:themeColor="text1"/>
          <w:u w:val="single"/>
        </w:rPr>
        <w:t>Dažnas šalutinis poveikis (pasitaiko rečiau kaip 1 iš 10 pacientų)</w:t>
      </w:r>
    </w:p>
    <w:p w:rsidR="00C05CF7" w:rsidRDefault="00C05CF7" w:rsidP="00C05CF7">
      <w:pPr>
        <w:pStyle w:val="ListParagraph"/>
        <w:numPr>
          <w:ilvl w:val="0"/>
          <w:numId w:val="3"/>
        </w:numPr>
        <w:ind w:right="-1"/>
        <w:rPr>
          <w:rFonts w:ascii="Times New Roman" w:hAnsi="Times New Roman"/>
          <w:color w:val="000000" w:themeColor="text1"/>
          <w:sz w:val="22"/>
          <w:szCs w:val="22"/>
          <w:lang w:eastAsia="en-US"/>
        </w:rPr>
      </w:pPr>
      <w:r>
        <w:rPr>
          <w:rFonts w:ascii="Times New Roman" w:hAnsi="Times New Roman"/>
          <w:color w:val="000000" w:themeColor="text1"/>
          <w:sz w:val="22"/>
          <w:szCs w:val="22"/>
          <w:lang w:eastAsia="en-US"/>
        </w:rPr>
        <w:t>akies (-ių) ir aplink ją (jas) paraudimas, akies (-ių) ašarojimas ar niežėjimas, ragenos erozija (akies obuolio dangalo pažeidimai), akies (-ių) ir aplink ją patinimas ir (arba) sudirginimas, svetimkūnio jutimas akyje, ragenos jautrumo sumažėjimas (nesuvokimas, kad kažkas pateko į akį ir skausmo nejutimas), akies skausmas, akių sausumas, neryškus matymas, galvos skausmas, sinusitas (tempimo ar pilnumo jausmas nosyje), pykinimas, silpnumas/nuovargis.</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u w:val="single"/>
        </w:rPr>
      </w:pPr>
      <w:r>
        <w:rPr>
          <w:rFonts w:ascii="Times New Roman" w:hAnsi="Times New Roman"/>
          <w:color w:val="000000" w:themeColor="text1"/>
          <w:u w:val="single"/>
        </w:rPr>
        <w:t>Nedažnas šalutinis poveikis (pasitaiko rečiau kaip 1 iš 100 pacientų )</w:t>
      </w:r>
    </w:p>
    <w:p w:rsidR="00C05CF7" w:rsidRDefault="00C05CF7" w:rsidP="00C05CF7">
      <w:pPr>
        <w:pStyle w:val="ListParagraph"/>
        <w:numPr>
          <w:ilvl w:val="0"/>
          <w:numId w:val="3"/>
        </w:numPr>
        <w:tabs>
          <w:tab w:val="left" w:pos="0"/>
        </w:tabs>
        <w:rPr>
          <w:rFonts w:ascii="Times New Roman" w:hAnsi="Times New Roman"/>
          <w:color w:val="000000" w:themeColor="text1"/>
          <w:sz w:val="22"/>
          <w:szCs w:val="22"/>
        </w:rPr>
      </w:pPr>
      <w:r>
        <w:rPr>
          <w:rFonts w:ascii="Times New Roman" w:hAnsi="Times New Roman"/>
          <w:color w:val="000000" w:themeColor="text1"/>
          <w:sz w:val="22"/>
          <w:szCs w:val="22"/>
        </w:rPr>
        <w:t xml:space="preserve">svaigulys, depresija, akies rainelės uždegimas, </w:t>
      </w:r>
      <w:r>
        <w:rPr>
          <w:rFonts w:ascii="Times New Roman" w:hAnsi="Times New Roman"/>
          <w:color w:val="000000" w:themeColor="text1"/>
          <w:sz w:val="22"/>
          <w:szCs w:val="22"/>
          <w:lang w:eastAsia="en-US"/>
        </w:rPr>
        <w:t>neryškus matymas, įskaitant lūžimo pokyčius (kai kuriais atvejais dėl vyzdį siaurinančio gydymo nutraukimo), pasunkėjęs kvėpavimas (dispnėja), retas širdies plakimas, alpimas, nevirškinimas ir inkstų akmenligė (dažnai pasižyminti staigiais skausmingais, spazmiškais nugaros arba šono, kirkšnies arba pilvo priepuoliais).</w:t>
      </w:r>
    </w:p>
    <w:p w:rsidR="00C05CF7" w:rsidRDefault="00C05CF7" w:rsidP="00C05CF7">
      <w:pPr>
        <w:rPr>
          <w:rFonts w:ascii="Times New Roman" w:hAnsi="Times New Roman"/>
          <w:i/>
          <w:color w:val="000000" w:themeColor="text1"/>
        </w:rPr>
      </w:pPr>
    </w:p>
    <w:p w:rsidR="00C05CF7" w:rsidRDefault="00C05CF7" w:rsidP="00C05CF7">
      <w:pPr>
        <w:rPr>
          <w:rFonts w:ascii="Times New Roman" w:hAnsi="Times New Roman"/>
          <w:color w:val="000000" w:themeColor="text1"/>
          <w:u w:val="single"/>
        </w:rPr>
      </w:pPr>
      <w:r>
        <w:rPr>
          <w:rFonts w:ascii="Times New Roman" w:hAnsi="Times New Roman"/>
          <w:color w:val="000000" w:themeColor="text1"/>
          <w:u w:val="single"/>
        </w:rPr>
        <w:t>Retas šalutinis poveikis (pasitaiko rečiau kaip 1 iš 1000 pacientų )</w:t>
      </w:r>
    </w:p>
    <w:p w:rsidR="00C05CF7" w:rsidRDefault="00C05CF7" w:rsidP="00C05CF7">
      <w:pPr>
        <w:pStyle w:val="ListParagraph"/>
        <w:numPr>
          <w:ilvl w:val="0"/>
          <w:numId w:val="3"/>
        </w:numPr>
        <w:tabs>
          <w:tab w:val="left" w:pos="0"/>
        </w:tabs>
        <w:rPr>
          <w:rFonts w:ascii="Times New Roman" w:hAnsi="Times New Roman"/>
          <w:i/>
          <w:color w:val="000000" w:themeColor="text1"/>
          <w:sz w:val="22"/>
          <w:szCs w:val="22"/>
        </w:rPr>
      </w:pPr>
      <w:r>
        <w:rPr>
          <w:rFonts w:ascii="Times New Roman" w:hAnsi="Times New Roman"/>
          <w:color w:val="000000" w:themeColor="text1"/>
          <w:sz w:val="22"/>
          <w:szCs w:val="22"/>
        </w:rPr>
        <w:t xml:space="preserve">sisteminė raudonoji vilkligė (imuninės sistemos liga, galinti sukelti vidaus organų uždegimą), tirpimo ar dilgčiojimo pojūtis rankose ir pėdose, sunkumas užmigti (nemiga), košmariški sapnai, atminties sutrikimas, generalizuotos miastenijos (raumenų sutrikimas) simptomų ir požymių sustiprėjimas, lytinio potraukio sumažėjimas, insultas, </w:t>
      </w:r>
      <w:r>
        <w:rPr>
          <w:rFonts w:ascii="Times New Roman" w:hAnsi="Times New Roman"/>
          <w:color w:val="000000" w:themeColor="text1"/>
          <w:sz w:val="22"/>
          <w:szCs w:val="22"/>
          <w:lang w:eastAsia="en-US"/>
        </w:rPr>
        <w:t xml:space="preserve">praeinanti trumparegystė, kuri nutraukus gydymą gali pranykti, sluoksnio, esančiu po tinklaine, kuriame yra kraujagyslės, atšoka (po filtruojamosios chirurginės operacijos), dėl kurios gali atsirasti neryškus matymas, vokų nusileidimas (akis ne visiškai užsimerkia), dvejinimasis akyse, plutelės ant akies voko susidarymas, ragenos patinimas (su matymo sutrikimo simptomais), žemas akispūdis, skambėjimas ausyse, žemas kraujospūdis, širdies ritmo ir greičio pokytis, stazinis širdies nepakankamumas (širdies liga, kai dėl skysčio susilaikymo pasunkėja kvėpavimas, patinsta pėdos ir kojos), edema (skysčių susikaupimas), cerebrinė išemija (sumažėjęs kraujo patekimas į smegenis), krūtinės skausmas, palpitacijos (greitesnis ir (arba) nereguliarus širdies plakimas), širdies smūgis, Raynaud‘o fenomenas, rankų ir pėdų patinimas ar šaltumas bei sulėtėjusi kraujotaka rankose ir kojose, kojų mėšlungis ir (arba) kojų skausmas vaikštant (šlubčiojimas), dusulys, dusulio jausmas, varvanti arba užsikimšusi nosis, kraujavimas iš nosies, bronchų spazmas, sukeliantis kvėpavimo pasunkėjimą, kvėpavimo takų susiaurėjimas plaučiuose, kosulys, gerklės sudirginimas, burnos sausumas, viduriavimas, kontaktinis dermatitas, nuplikimas, odos išbėrimas sidabro atspalviu (psoriazinis bėrimas), </w:t>
      </w:r>
      <w:r>
        <w:rPr>
          <w:rFonts w:ascii="Times New Roman" w:hAnsi="Times New Roman"/>
          <w:i/>
          <w:color w:val="000000" w:themeColor="text1"/>
          <w:sz w:val="22"/>
          <w:szCs w:val="22"/>
          <w:lang w:eastAsia="en-US"/>
        </w:rPr>
        <w:t>Peyronie</w:t>
      </w:r>
      <w:r>
        <w:rPr>
          <w:rFonts w:ascii="Times New Roman" w:hAnsi="Times New Roman"/>
          <w:color w:val="000000" w:themeColor="text1"/>
          <w:sz w:val="22"/>
          <w:szCs w:val="22"/>
        </w:rPr>
        <w:t xml:space="preserve"> </w:t>
      </w:r>
      <w:r>
        <w:rPr>
          <w:rFonts w:ascii="Times New Roman" w:hAnsi="Times New Roman"/>
          <w:color w:val="000000" w:themeColor="text1"/>
          <w:sz w:val="22"/>
          <w:szCs w:val="22"/>
          <w:lang w:eastAsia="en-US"/>
        </w:rPr>
        <w:t>liga (dėl kurios vyrams gali sulinkti varpa),</w:t>
      </w:r>
      <w:r>
        <w:rPr>
          <w:rFonts w:ascii="Times New Roman" w:hAnsi="Times New Roman"/>
          <w:i/>
          <w:color w:val="000000" w:themeColor="text1"/>
          <w:sz w:val="22"/>
          <w:szCs w:val="22"/>
        </w:rPr>
        <w:t xml:space="preserve"> </w:t>
      </w:r>
      <w:r>
        <w:rPr>
          <w:rFonts w:ascii="Times New Roman" w:hAnsi="Times New Roman"/>
          <w:color w:val="000000" w:themeColor="text1"/>
          <w:sz w:val="22"/>
          <w:szCs w:val="22"/>
          <w:lang w:eastAsia="en-US"/>
        </w:rPr>
        <w:t>alerginės reakcijos, tokios kaip išbėrimas, dilgėlinė, niežėjimas, retais atvejais galimas lūpų, akių ir burnos patinimas, švokštimas ar sunkios odos reakcijos (</w:t>
      </w:r>
      <w:r>
        <w:rPr>
          <w:rFonts w:ascii="Times New Roman" w:hAnsi="Times New Roman"/>
          <w:sz w:val="22"/>
          <w:szCs w:val="22"/>
        </w:rPr>
        <w:t>Stivenso - Džonsono (</w:t>
      </w:r>
      <w:r>
        <w:rPr>
          <w:rFonts w:ascii="Times New Roman" w:hAnsi="Times New Roman"/>
          <w:i/>
          <w:sz w:val="22"/>
          <w:szCs w:val="22"/>
        </w:rPr>
        <w:t>Stevens-Johnson</w:t>
      </w:r>
      <w:r>
        <w:rPr>
          <w:rFonts w:ascii="Times New Roman" w:hAnsi="Times New Roman"/>
          <w:sz w:val="22"/>
          <w:szCs w:val="22"/>
        </w:rPr>
        <w:t xml:space="preserve">) </w:t>
      </w:r>
      <w:r>
        <w:rPr>
          <w:rFonts w:ascii="Times New Roman" w:hAnsi="Times New Roman"/>
          <w:color w:val="000000" w:themeColor="text1"/>
          <w:sz w:val="22"/>
          <w:szCs w:val="22"/>
        </w:rPr>
        <w:t>sindromas, toksinė epidermio nekrolizė)</w:t>
      </w:r>
      <w:r>
        <w:rPr>
          <w:rFonts w:ascii="Times New Roman" w:hAnsi="Times New Roman"/>
          <w:color w:val="000000" w:themeColor="text1"/>
          <w:sz w:val="22"/>
          <w:szCs w:val="22"/>
          <w:lang w:eastAsia="en-US"/>
        </w:rPr>
        <w:t>.</w:t>
      </w:r>
    </w:p>
    <w:p w:rsidR="00C05CF7" w:rsidRDefault="00C05CF7" w:rsidP="00C05CF7">
      <w:pPr>
        <w:rPr>
          <w:rFonts w:ascii="Times New Roman" w:hAnsi="Times New Roman"/>
          <w:color w:val="000000" w:themeColor="text1"/>
        </w:rPr>
      </w:pPr>
    </w:p>
    <w:p w:rsidR="00C05CF7" w:rsidRDefault="00C05CF7" w:rsidP="00C05CF7">
      <w:pPr>
        <w:autoSpaceDE w:val="0"/>
        <w:autoSpaceDN w:val="0"/>
        <w:adjustRightInd w:val="0"/>
        <w:rPr>
          <w:rFonts w:ascii="Times New Roman" w:hAnsi="Times New Roman"/>
          <w:color w:val="000000" w:themeColor="text1"/>
        </w:rPr>
      </w:pPr>
      <w:r>
        <w:rPr>
          <w:rFonts w:ascii="Times New Roman" w:hAnsi="Times New Roman"/>
          <w:color w:val="000000" w:themeColor="text1"/>
        </w:rPr>
        <w:t>Kaip ir kiti vaistai, vartojami ant akių, timololis yra absorbuojamas į kraują. Tai gali sukelti tokius pat šalutinius poveikius, kurie pastebėti beta-adrenoreceptorių blokatorius vartojant per burną. Šių šalutinių poveikių dažnumas po vietinio vartojimo ant akių yra retesnis, negu, pavyzdžiui, vaistą vartojant per burną arba jį injekuojant.</w:t>
      </w:r>
    </w:p>
    <w:p w:rsidR="00C05CF7" w:rsidRDefault="00C05CF7" w:rsidP="00C05CF7">
      <w:pPr>
        <w:autoSpaceDE w:val="0"/>
        <w:autoSpaceDN w:val="0"/>
        <w:adjustRightInd w:val="0"/>
        <w:rPr>
          <w:rFonts w:ascii="Times New Roman" w:hAnsi="Times New Roman"/>
          <w:color w:val="000000" w:themeColor="text1"/>
        </w:rPr>
      </w:pPr>
      <w:r>
        <w:rPr>
          <w:rFonts w:ascii="Times New Roman" w:hAnsi="Times New Roman"/>
          <w:color w:val="000000" w:themeColor="text1"/>
        </w:rPr>
        <w:t>Žemiau išvardinti šalutiniai poveikiai apima ir poveikius, pastebėtus beta-adrenoreceptorių blokatorių vartojant akių ligų gydymui:</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u w:val="single"/>
        </w:rPr>
      </w:pPr>
      <w:r>
        <w:rPr>
          <w:rFonts w:ascii="Times New Roman" w:hAnsi="Times New Roman"/>
          <w:color w:val="000000" w:themeColor="text1"/>
          <w:u w:val="single"/>
        </w:rPr>
        <w:t>Šalutinis poveikis, kurio dažnis nežinomas (dažnis negali būti nustatytas pagal turimus duomenis)</w:t>
      </w:r>
    </w:p>
    <w:p w:rsidR="00C05CF7" w:rsidRDefault="00C05CF7" w:rsidP="00C05CF7">
      <w:pPr>
        <w:pStyle w:val="Sraopastraipa1"/>
        <w:ind w:left="0"/>
        <w:rPr>
          <w:rFonts w:ascii="Times New Roman" w:hAnsi="Times New Roman"/>
          <w:color w:val="000000" w:themeColor="text1"/>
          <w:sz w:val="22"/>
          <w:szCs w:val="22"/>
        </w:rPr>
      </w:pPr>
      <w:r>
        <w:rPr>
          <w:rFonts w:ascii="Times New Roman" w:hAnsi="Times New Roman"/>
          <w:color w:val="000000" w:themeColor="text1"/>
          <w:sz w:val="22"/>
          <w:szCs w:val="22"/>
        </w:rPr>
        <w:t>Mažas gliukozės kiekis kraujyje, širdies nepakankamumas, tam tikras širdies ritmo sutrikimas, pilvo skausmas, vėmimas, raumenų skausmas, nesusijęs su mankšta, lytinės funkcijos sutrikimas, dusulys, svetimkūnio pojūtis akyse (pojūtis, kad akyje kažkas yra), haliucinacijos, stiprus širdies plakimas, kuris gali būti greitas ar nereguliarus (palpitacijos).</w:t>
      </w:r>
    </w:p>
    <w:p w:rsidR="00C05CF7" w:rsidRPr="00A75088" w:rsidRDefault="00C05CF7" w:rsidP="00C05CF7">
      <w:pPr>
        <w:tabs>
          <w:tab w:val="left" w:pos="567"/>
        </w:tabs>
        <w:rPr>
          <w:rFonts w:ascii="Times New Roman" w:hAnsi="Times New Roman"/>
          <w:color w:val="000000" w:themeColor="text1"/>
        </w:rPr>
      </w:pPr>
    </w:p>
    <w:p w:rsidR="00C05CF7" w:rsidRDefault="00C05CF7" w:rsidP="00C05CF7">
      <w:pPr>
        <w:tabs>
          <w:tab w:val="left" w:pos="567"/>
        </w:tabs>
        <w:rPr>
          <w:rFonts w:ascii="Times New Roman" w:hAnsi="Times New Roman"/>
          <w:b/>
          <w:snapToGrid w:val="0"/>
          <w:color w:val="000000" w:themeColor="text1"/>
        </w:rPr>
      </w:pPr>
      <w:r>
        <w:rPr>
          <w:rFonts w:ascii="Times New Roman" w:hAnsi="Times New Roman"/>
          <w:b/>
          <w:noProof/>
          <w:snapToGrid w:val="0"/>
          <w:color w:val="000000" w:themeColor="text1"/>
        </w:rPr>
        <w:t>Pranešimas apie šalutinį poveikį</w:t>
      </w:r>
    </w:p>
    <w:p w:rsidR="00C05CF7" w:rsidRDefault="00C05CF7" w:rsidP="00C05CF7">
      <w:pPr>
        <w:rPr>
          <w:rFonts w:ascii="Times New Roman" w:hAnsi="Times New Roman"/>
          <w:color w:val="000000" w:themeColor="text1"/>
        </w:rPr>
      </w:pPr>
      <w:r>
        <w:rPr>
          <w:rFonts w:ascii="Times New Roman" w:hAnsi="Times New Roman"/>
          <w:snapToGrid w:val="0"/>
          <w:color w:val="000000" w:themeColor="text1"/>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hAnsi="Times New Roman"/>
          <w:snapToGrid w:val="0"/>
          <w:color w:val="000000" w:themeColor="text1"/>
          <w:lang w:eastAsia="zh-CN"/>
        </w:rPr>
        <w:t>elefonu 8 800 73568</w:t>
      </w:r>
      <w:r>
        <w:rPr>
          <w:rFonts w:ascii="Times New Roman" w:hAnsi="Times New Roman"/>
          <w:snapToGrid w:val="0"/>
          <w:color w:val="000000" w:themeColor="text1"/>
        </w:rPr>
        <w:t xml:space="preserve"> arba užpildyti interneto svetainėje </w:t>
      </w:r>
      <w:hyperlink r:id="rId9" w:history="1">
        <w:r w:rsidRPr="00A75088">
          <w:rPr>
            <w:rStyle w:val="Hyperlink"/>
            <w:rFonts w:eastAsia="SimSun"/>
            <w:color w:val="000000" w:themeColor="text1"/>
          </w:rPr>
          <w:t>www.vvkt.lt</w:t>
        </w:r>
      </w:hyperlink>
      <w:r>
        <w:rPr>
          <w:rFonts w:ascii="Times New Roman" w:hAnsi="Times New Roman"/>
          <w:snapToGrid w:val="0"/>
          <w:color w:val="000000" w:themeColor="text1"/>
        </w:rPr>
        <w:t xml:space="preserve"> esančią formą ir pateikti ją Valstybinei vaistų kontrolės tarnybai prie Lietuvos Respublikos sveikatos apsaugos ministerijos vienu iš šių būdų: raštu (adresu Žirmūnų g. 139A, LT-09120 Vilnius), </w:t>
      </w:r>
      <w:r>
        <w:rPr>
          <w:rFonts w:ascii="Times New Roman" w:hAnsi="Times New Roman"/>
          <w:snapToGrid w:val="0"/>
          <w:color w:val="000000" w:themeColor="text1"/>
          <w:lang w:eastAsia="zh-CN"/>
        </w:rPr>
        <w:t xml:space="preserve">nemokamu </w:t>
      </w:r>
      <w:r>
        <w:rPr>
          <w:rFonts w:ascii="Times New Roman" w:hAnsi="Times New Roman"/>
          <w:snapToGrid w:val="0"/>
          <w:color w:val="000000" w:themeColor="text1"/>
        </w:rPr>
        <w:t>fakso numeriu 8 800 20131</w:t>
      </w:r>
      <w:r>
        <w:rPr>
          <w:rFonts w:ascii="Times New Roman" w:hAnsi="Times New Roman"/>
          <w:snapToGrid w:val="0"/>
          <w:color w:val="000000" w:themeColor="text1"/>
          <w:lang w:eastAsia="zh-CN"/>
        </w:rPr>
        <w:t xml:space="preserve">, </w:t>
      </w:r>
      <w:r>
        <w:rPr>
          <w:rFonts w:ascii="Times New Roman" w:hAnsi="Times New Roman"/>
          <w:snapToGrid w:val="0"/>
          <w:color w:val="000000" w:themeColor="text1"/>
        </w:rPr>
        <w:t xml:space="preserve">el. paštu </w:t>
      </w:r>
      <w:hyperlink r:id="rId10" w:history="1">
        <w:r w:rsidRPr="00A75088">
          <w:rPr>
            <w:rStyle w:val="Hyperlink"/>
            <w:rFonts w:eastAsia="SimSun"/>
            <w:color w:val="000000" w:themeColor="text1"/>
          </w:rPr>
          <w:t>NepageidaujamaR@vvkt.lt</w:t>
        </w:r>
      </w:hyperlink>
      <w:r>
        <w:rPr>
          <w:rFonts w:ascii="Times New Roman" w:hAnsi="Times New Roman"/>
          <w:snapToGrid w:val="0"/>
          <w:color w:val="000000" w:themeColor="text1"/>
        </w:rPr>
        <w:t xml:space="preserve">, taip pat per Valstybinės vaistų kontrolės tarnybos prie Lietuvos Respublikos sveikatos apsaugos ministerijos interneto svetainę (adresu </w:t>
      </w:r>
      <w:hyperlink r:id="rId11" w:history="1">
        <w:r w:rsidRPr="00A75088">
          <w:rPr>
            <w:rStyle w:val="Hyperlink"/>
            <w:rFonts w:eastAsia="SimSun"/>
            <w:color w:val="000000" w:themeColor="text1"/>
          </w:rPr>
          <w:t>http://www.vvkt.lt</w:t>
        </w:r>
      </w:hyperlink>
      <w:r>
        <w:rPr>
          <w:rFonts w:ascii="Times New Roman" w:hAnsi="Times New Roman"/>
          <w:snapToGrid w:val="0"/>
          <w:color w:val="000000" w:themeColor="text1"/>
        </w:rPr>
        <w:t>). Pranešdami apie šalutinį poveikį galite mums padėti gauti daugiau informacijos apie šio vaisto saugumą.</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p>
    <w:p w:rsidR="00C05CF7" w:rsidRDefault="00C05CF7" w:rsidP="00C05CF7">
      <w:pPr>
        <w:pStyle w:val="Heading2"/>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ab/>
        <w:t>Kaip laikyti Amiptifree</w:t>
      </w:r>
    </w:p>
    <w:p w:rsidR="00C05CF7" w:rsidRDefault="00C05CF7" w:rsidP="00C05CF7">
      <w:pPr>
        <w:pStyle w:val="BodyText"/>
        <w:spacing w:after="0"/>
        <w:rPr>
          <w:color w:val="000000" w:themeColor="text1"/>
          <w:szCs w:val="22"/>
        </w:rPr>
      </w:pPr>
    </w:p>
    <w:p w:rsidR="00C05CF7" w:rsidRDefault="00C05CF7" w:rsidP="00C05CF7">
      <w:pPr>
        <w:keepNext/>
        <w:keepLines/>
        <w:rPr>
          <w:rFonts w:ascii="Times New Roman" w:hAnsi="Times New Roman"/>
        </w:rPr>
      </w:pPr>
      <w:r>
        <w:rPr>
          <w:rFonts w:ascii="Times New Roman" w:hAnsi="Times New Roman"/>
        </w:rPr>
        <w:t>Laikyti žemesnėje kaip 30 </w:t>
      </w:r>
      <w:r>
        <w:rPr>
          <w:rFonts w:ascii="Times New Roman" w:hAnsi="Times New Roman"/>
        </w:rPr>
        <w:sym w:font="Symbol" w:char="F0B0"/>
      </w:r>
      <w:r>
        <w:rPr>
          <w:rFonts w:ascii="Times New Roman" w:hAnsi="Times New Roman"/>
        </w:rPr>
        <w:t>C temperatūroje.</w:t>
      </w:r>
    </w:p>
    <w:p w:rsidR="00C05CF7" w:rsidRDefault="00C05CF7" w:rsidP="00C05CF7">
      <w:pPr>
        <w:pStyle w:val="BTEMEASMCA"/>
      </w:pPr>
      <w:r>
        <w:t>Buteliuką pirmą kartą atidarius - laikyti ne ilgiau kaip 90 dienų žemesnėje nei 25 °C temperatūroje.</w:t>
      </w:r>
    </w:p>
    <w:p w:rsidR="00C05CF7" w:rsidRDefault="00C05CF7" w:rsidP="00C05CF7">
      <w:pPr>
        <w:pStyle w:val="BodyText"/>
        <w:spacing w:after="0"/>
        <w:rPr>
          <w:noProof/>
          <w:szCs w:val="22"/>
        </w:rPr>
      </w:pPr>
    </w:p>
    <w:p w:rsidR="00C05CF7" w:rsidRDefault="00C05CF7" w:rsidP="00C05CF7">
      <w:pPr>
        <w:pStyle w:val="BodyText"/>
        <w:spacing w:after="0"/>
        <w:rPr>
          <w:color w:val="000000" w:themeColor="text1"/>
          <w:szCs w:val="22"/>
        </w:rPr>
      </w:pPr>
      <w:r>
        <w:rPr>
          <w:noProof/>
          <w:szCs w:val="22"/>
        </w:rPr>
        <w:t>Šį vaistą laikykite vaikams nepastebimoje ir nepasiekiamoje vietoje.</w:t>
      </w:r>
    </w:p>
    <w:p w:rsidR="00C05CF7" w:rsidRDefault="00C05CF7" w:rsidP="00C05CF7">
      <w:pPr>
        <w:pStyle w:val="BTEMEASMCA"/>
      </w:pPr>
    </w:p>
    <w:p w:rsidR="00C05CF7" w:rsidRDefault="00C05CF7" w:rsidP="00C05CF7">
      <w:pPr>
        <w:pStyle w:val="BodyText"/>
        <w:spacing w:after="0"/>
        <w:rPr>
          <w:color w:val="000000" w:themeColor="text1"/>
          <w:szCs w:val="22"/>
        </w:rPr>
      </w:pPr>
      <w:r>
        <w:rPr>
          <w:color w:val="000000" w:themeColor="text1"/>
          <w:szCs w:val="22"/>
        </w:rPr>
        <w:t xml:space="preserve">Ant kartono dėžutės ir buteliuko po „EXP“ nurodytam tinkamumo laikui pasibaigus, </w:t>
      </w:r>
      <w:r>
        <w:rPr>
          <w:noProof/>
          <w:szCs w:val="22"/>
        </w:rPr>
        <w:t xml:space="preserve">šio vaisto vartoti negalima. </w:t>
      </w:r>
      <w:r>
        <w:rPr>
          <w:color w:val="000000" w:themeColor="text1"/>
          <w:szCs w:val="22"/>
        </w:rPr>
        <w:t>Vaistas tinkamas vartoti iki paskutinės nurodyto mėnesio dienos.</w:t>
      </w:r>
    </w:p>
    <w:p w:rsidR="00C05CF7" w:rsidRDefault="00C05CF7" w:rsidP="00C05CF7">
      <w:pPr>
        <w:pStyle w:val="BodyText"/>
        <w:spacing w:after="0"/>
        <w:rPr>
          <w:noProof/>
          <w:color w:val="000000" w:themeColor="text1"/>
          <w:szCs w:val="22"/>
        </w:rPr>
      </w:pPr>
    </w:p>
    <w:p w:rsidR="00C05CF7" w:rsidRDefault="00C05CF7" w:rsidP="00C05CF7">
      <w:pPr>
        <w:pStyle w:val="BodyText"/>
        <w:spacing w:after="0"/>
        <w:rPr>
          <w:color w:val="000000" w:themeColor="text1"/>
          <w:szCs w:val="22"/>
        </w:rPr>
      </w:pPr>
      <w:r>
        <w:rPr>
          <w:color w:val="000000" w:themeColor="text1"/>
          <w:szCs w:val="22"/>
        </w:rPr>
        <w:t>Vaistų negalima išmesti į kanalizaciją arba su buitinėmis atliekomis. Kaip išmesti nereikalingus vaistus, klauskite vaistininko. Šios priemonės padės apsaugoti aplinką.</w:t>
      </w:r>
    </w:p>
    <w:p w:rsidR="00C05CF7" w:rsidRDefault="00C05CF7" w:rsidP="00C05CF7">
      <w:pPr>
        <w:pStyle w:val="BodyText"/>
        <w:spacing w:after="0"/>
        <w:rPr>
          <w:color w:val="000000" w:themeColor="text1"/>
          <w:szCs w:val="22"/>
        </w:rPr>
      </w:pPr>
    </w:p>
    <w:p w:rsidR="00C05CF7" w:rsidRDefault="00C05CF7" w:rsidP="00C05CF7">
      <w:pPr>
        <w:pStyle w:val="BodyText"/>
        <w:spacing w:after="0"/>
        <w:rPr>
          <w:color w:val="000000" w:themeColor="text1"/>
          <w:szCs w:val="22"/>
        </w:rPr>
      </w:pPr>
    </w:p>
    <w:p w:rsidR="00C05CF7" w:rsidRDefault="00C05CF7" w:rsidP="00C05CF7">
      <w:pPr>
        <w:pStyle w:val="Heading2"/>
        <w:spacing w:befor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ab/>
        <w:t>Pakuotės turinys ir kita informacija</w:t>
      </w:r>
    </w:p>
    <w:p w:rsidR="00C05CF7" w:rsidRDefault="00C05CF7" w:rsidP="00C05CF7">
      <w:pPr>
        <w:pStyle w:val="BodyText"/>
        <w:spacing w:after="0"/>
        <w:rPr>
          <w:color w:val="000000" w:themeColor="text1"/>
          <w:szCs w:val="22"/>
        </w:rPr>
      </w:pPr>
    </w:p>
    <w:p w:rsidR="00C05CF7" w:rsidRDefault="00C05CF7" w:rsidP="00C05CF7">
      <w:pPr>
        <w:pStyle w:val="BodyText"/>
        <w:spacing w:after="0"/>
        <w:rPr>
          <w:b/>
          <w:color w:val="000000" w:themeColor="text1"/>
          <w:szCs w:val="22"/>
        </w:rPr>
      </w:pPr>
      <w:r>
        <w:rPr>
          <w:b/>
          <w:color w:val="000000" w:themeColor="text1"/>
          <w:szCs w:val="22"/>
        </w:rPr>
        <w:t>Amiptifree sudėtis</w:t>
      </w:r>
    </w:p>
    <w:p w:rsidR="00C05CF7" w:rsidRDefault="00C05CF7" w:rsidP="00C05CF7">
      <w:pPr>
        <w:keepNext/>
        <w:keepLines/>
        <w:tabs>
          <w:tab w:val="left" w:pos="567"/>
        </w:tabs>
        <w:ind w:left="567" w:hanging="567"/>
        <w:rPr>
          <w:rFonts w:ascii="Times New Roman" w:hAnsi="Times New Roman"/>
        </w:rPr>
      </w:pPr>
      <w:r>
        <w:rPr>
          <w:rFonts w:ascii="Times New Roman" w:hAnsi="Times New Roman"/>
          <w:color w:val="000000" w:themeColor="text1"/>
        </w:rPr>
        <w:t>-</w:t>
      </w:r>
      <w:r>
        <w:rPr>
          <w:rFonts w:ascii="Times New Roman" w:hAnsi="Times New Roman"/>
          <w:color w:val="000000" w:themeColor="text1"/>
        </w:rPr>
        <w:tab/>
        <w:t xml:space="preserve">Veikliosios medžiagos yra dorzolamidas ir timololis. </w:t>
      </w:r>
      <w:r>
        <w:rPr>
          <w:rFonts w:ascii="Times New Roman" w:hAnsi="Times New Roman"/>
        </w:rPr>
        <w:t>Kiekviename mililitre yra 20 mg dorzolamido (22,26 mg dorzolamido hidrochlorido pavidalu) ir 5 mg timololio (6,83 mg timololio maleato pavidalu).</w:t>
      </w:r>
    </w:p>
    <w:p w:rsidR="00C05CF7" w:rsidRDefault="00C05CF7" w:rsidP="00C05CF7">
      <w:pPr>
        <w:keepNext/>
        <w:keepLines/>
        <w:tabs>
          <w:tab w:val="left" w:pos="567"/>
        </w:tabs>
        <w:ind w:firstLine="567"/>
        <w:rPr>
          <w:rFonts w:ascii="Times New Roman" w:hAnsi="Times New Roman"/>
        </w:rPr>
      </w:pPr>
      <w:r>
        <w:rPr>
          <w:rFonts w:ascii="Times New Roman" w:hAnsi="Times New Roman"/>
        </w:rPr>
        <w:t>Kiekviename laše (maždaug 35 μl) yra 0,70 mg dorzolamido ir 0,18 mg timololio.</w:t>
      </w:r>
    </w:p>
    <w:p w:rsidR="00C05CF7" w:rsidRDefault="00C05CF7" w:rsidP="00C05CF7">
      <w:pPr>
        <w:pStyle w:val="BodyText"/>
        <w:numPr>
          <w:ilvl w:val="0"/>
          <w:numId w:val="4"/>
        </w:numPr>
        <w:spacing w:after="0"/>
        <w:rPr>
          <w:noProof/>
          <w:color w:val="000000" w:themeColor="text1"/>
          <w:szCs w:val="22"/>
        </w:rPr>
      </w:pPr>
      <w:r>
        <w:rPr>
          <w:noProof/>
          <w:color w:val="000000" w:themeColor="text1"/>
          <w:szCs w:val="22"/>
        </w:rPr>
        <w:t>Pagalbinės medžiagos yra</w:t>
      </w:r>
      <w:r>
        <w:rPr>
          <w:szCs w:val="22"/>
        </w:rPr>
        <w:t xml:space="preserve"> hidroksietilceliuliozė 6400-11900 mPa·s, manitolis, natrio citratas, natrio hidroksidas (pH koreguoti), </w:t>
      </w:r>
      <w:r>
        <w:rPr>
          <w:rFonts w:eastAsiaTheme="minorHAnsi"/>
          <w:color w:val="000000"/>
          <w:szCs w:val="22"/>
          <w:lang w:eastAsia="en-US"/>
        </w:rPr>
        <w:t>išgrynintas vanduo.</w:t>
      </w:r>
    </w:p>
    <w:p w:rsidR="00C05CF7" w:rsidRDefault="00C05CF7" w:rsidP="00C05CF7">
      <w:pPr>
        <w:pStyle w:val="BodyText"/>
        <w:spacing w:after="0"/>
        <w:rPr>
          <w:noProof/>
          <w:color w:val="000000" w:themeColor="text1"/>
          <w:szCs w:val="22"/>
        </w:rPr>
      </w:pPr>
    </w:p>
    <w:p w:rsidR="00C05CF7" w:rsidRDefault="00C05CF7" w:rsidP="00C05CF7">
      <w:pPr>
        <w:pStyle w:val="BodyText"/>
        <w:spacing w:after="0"/>
        <w:rPr>
          <w:b/>
          <w:color w:val="000000" w:themeColor="text1"/>
          <w:szCs w:val="22"/>
        </w:rPr>
      </w:pPr>
      <w:r>
        <w:rPr>
          <w:b/>
          <w:color w:val="000000" w:themeColor="text1"/>
          <w:szCs w:val="22"/>
        </w:rPr>
        <w:t>Amiptifree išvaizda ir kiekis pakuotėje</w:t>
      </w:r>
    </w:p>
    <w:p w:rsidR="00C05CF7" w:rsidRDefault="00C05CF7" w:rsidP="00C05CF7">
      <w:pPr>
        <w:pStyle w:val="Sraopastraipa2"/>
        <w:ind w:left="0"/>
        <w:rPr>
          <w:rFonts w:ascii="Times New Roman" w:hAnsi="Times New Roman"/>
          <w:color w:val="000000"/>
          <w:sz w:val="22"/>
          <w:szCs w:val="22"/>
          <w:lang w:eastAsia="en-US"/>
        </w:rPr>
      </w:pPr>
      <w:r>
        <w:rPr>
          <w:rFonts w:ascii="Times New Roman" w:hAnsi="Times New Roman"/>
          <w:color w:val="000000" w:themeColor="text1"/>
          <w:sz w:val="22"/>
          <w:szCs w:val="22"/>
        </w:rPr>
        <w:t xml:space="preserve">Amiptifree yra </w:t>
      </w:r>
      <w:r>
        <w:rPr>
          <w:rFonts w:ascii="Times New Roman" w:hAnsi="Times New Roman"/>
          <w:sz w:val="22"/>
          <w:szCs w:val="22"/>
        </w:rPr>
        <w:t>s</w:t>
      </w:r>
      <w:r>
        <w:rPr>
          <w:rFonts w:ascii="Times New Roman" w:hAnsi="Times New Roman"/>
          <w:color w:val="000000"/>
          <w:sz w:val="22"/>
          <w:szCs w:val="22"/>
          <w:lang w:eastAsia="en-US"/>
        </w:rPr>
        <w:t>kaidrus, bespalvis, šiek tiek klampus tirpalas.</w:t>
      </w:r>
    </w:p>
    <w:p w:rsidR="00C05CF7" w:rsidRDefault="00C05CF7" w:rsidP="00C05CF7">
      <w:pPr>
        <w:rPr>
          <w:rFonts w:ascii="Times New Roman" w:hAnsi="Times New Roman"/>
        </w:rPr>
      </w:pPr>
      <w:r>
        <w:rPr>
          <w:rFonts w:ascii="Times New Roman" w:hAnsi="Times New Roman"/>
        </w:rPr>
        <w:t>Šis vaistas tiekiamas baltame MTPE buteliuke (5 ml talpos) su daugiadoziu DTPE aplikatoriumi su lašintuvu, saugančiu turinį nuo atgalinio užteršimo dėka silikoninių vožtuvų sistemos ir filtruojamo oro grąžinimo į buteliuką, bei užsukamuoju DTPE dangteliu su nuo pažeidimo saugančiu žiedu.</w:t>
      </w:r>
    </w:p>
    <w:p w:rsidR="00C05CF7" w:rsidRDefault="00C05CF7" w:rsidP="00C05CF7">
      <w:pPr>
        <w:rPr>
          <w:rFonts w:ascii="Times New Roman" w:hAnsi="Times New Roman"/>
        </w:rPr>
      </w:pPr>
      <w:r>
        <w:rPr>
          <w:rFonts w:ascii="Times New Roman" w:hAnsi="Times New Roman"/>
        </w:rPr>
        <w:t>Buteliukas įdėtas į kartono dėžutę.</w:t>
      </w:r>
    </w:p>
    <w:p w:rsidR="00C05CF7" w:rsidRDefault="00C05CF7" w:rsidP="00C05CF7">
      <w:pPr>
        <w:rPr>
          <w:rFonts w:ascii="Times New Roman" w:hAnsi="Times New Roman"/>
        </w:rPr>
      </w:pPr>
    </w:p>
    <w:p w:rsidR="00C05CF7" w:rsidRDefault="00C05CF7" w:rsidP="00C05CF7">
      <w:pPr>
        <w:rPr>
          <w:rFonts w:ascii="Times New Roman" w:hAnsi="Times New Roman"/>
        </w:rPr>
      </w:pPr>
      <w:r>
        <w:rPr>
          <w:rFonts w:ascii="Times New Roman" w:hAnsi="Times New Roman"/>
        </w:rPr>
        <w:t>Pakuotės dydžiai:</w:t>
      </w:r>
    </w:p>
    <w:p w:rsidR="00C05CF7" w:rsidRDefault="00C05CF7" w:rsidP="00C05CF7">
      <w:pPr>
        <w:rPr>
          <w:rFonts w:ascii="Times New Roman" w:hAnsi="Times New Roman"/>
        </w:rPr>
      </w:pPr>
      <w:r>
        <w:rPr>
          <w:rFonts w:ascii="Times New Roman" w:hAnsi="Times New Roman"/>
        </w:rPr>
        <w:t>1 x 5 ml buteliukas</w:t>
      </w:r>
    </w:p>
    <w:p w:rsidR="00C05CF7" w:rsidRDefault="00C05CF7" w:rsidP="00C05CF7">
      <w:pPr>
        <w:rPr>
          <w:rFonts w:ascii="Times New Roman" w:hAnsi="Times New Roman"/>
        </w:rPr>
      </w:pPr>
      <w:r>
        <w:rPr>
          <w:rFonts w:ascii="Times New Roman" w:hAnsi="Times New Roman"/>
        </w:rPr>
        <w:t>3 x 5 ml buteliukai</w:t>
      </w:r>
    </w:p>
    <w:p w:rsidR="00C05CF7" w:rsidRDefault="00C05CF7" w:rsidP="00C05CF7">
      <w:pPr>
        <w:rPr>
          <w:rFonts w:ascii="Times New Roman" w:hAnsi="Times New Roman"/>
        </w:rPr>
      </w:pPr>
    </w:p>
    <w:p w:rsidR="00C05CF7" w:rsidRDefault="00C05CF7" w:rsidP="00C05CF7">
      <w:pPr>
        <w:rPr>
          <w:rFonts w:ascii="Times New Roman" w:hAnsi="Times New Roman"/>
        </w:rPr>
      </w:pPr>
      <w:r>
        <w:rPr>
          <w:rFonts w:ascii="Times New Roman" w:hAnsi="Times New Roman"/>
        </w:rPr>
        <w:t>Gali būti tiekiamos ne visų dydžių pakuotės.</w:t>
      </w:r>
    </w:p>
    <w:p w:rsidR="00C05CF7" w:rsidRDefault="00C05CF7" w:rsidP="00C05CF7">
      <w:pPr>
        <w:pStyle w:val="Sraopastraipa2"/>
        <w:ind w:left="0"/>
        <w:rPr>
          <w:rFonts w:ascii="Times New Roman" w:hAnsi="Times New Roman"/>
          <w:color w:val="000000" w:themeColor="text1"/>
          <w:sz w:val="22"/>
          <w:szCs w:val="22"/>
        </w:rPr>
      </w:pPr>
    </w:p>
    <w:p w:rsidR="00C05CF7" w:rsidRDefault="00C05CF7" w:rsidP="00C05CF7">
      <w:pPr>
        <w:pStyle w:val="PI-3EMEASMCA"/>
        <w:rPr>
          <w:b/>
        </w:rPr>
      </w:pPr>
      <w:r>
        <w:rPr>
          <w:b/>
        </w:rPr>
        <w:t>Registruotojas ir gamintojas</w:t>
      </w:r>
    </w:p>
    <w:p w:rsidR="00C05CF7" w:rsidRDefault="00C05CF7" w:rsidP="00C05CF7">
      <w:pPr>
        <w:rPr>
          <w:rFonts w:ascii="Times New Roman" w:hAnsi="Times New Roman"/>
          <w:color w:val="000000" w:themeColor="text1"/>
          <w:u w:val="single"/>
        </w:rPr>
      </w:pPr>
    </w:p>
    <w:p w:rsidR="00C05CF7" w:rsidRDefault="00C05CF7" w:rsidP="00C05CF7">
      <w:pPr>
        <w:rPr>
          <w:rFonts w:ascii="Times New Roman" w:hAnsi="Times New Roman"/>
          <w:color w:val="000000" w:themeColor="text1"/>
        </w:rPr>
      </w:pPr>
      <w:r>
        <w:rPr>
          <w:rFonts w:ascii="Times New Roman" w:hAnsi="Times New Roman"/>
          <w:color w:val="000000" w:themeColor="text1"/>
          <w:u w:val="single"/>
        </w:rPr>
        <w:t>Registruotojas</w:t>
      </w:r>
    </w:p>
    <w:p w:rsidR="00C05CF7" w:rsidRDefault="00C05CF7" w:rsidP="00C05CF7">
      <w:pPr>
        <w:rPr>
          <w:rFonts w:ascii="Times New Roman" w:hAnsi="Times New Roman"/>
          <w:color w:val="000000" w:themeColor="text1"/>
        </w:rPr>
      </w:pPr>
      <w:r>
        <w:rPr>
          <w:rFonts w:ascii="Times New Roman" w:hAnsi="Times New Roman"/>
          <w:color w:val="000000" w:themeColor="text1"/>
        </w:rPr>
        <w:t>Pharmaceutical Works POLPHARMA S.A.</w:t>
      </w:r>
    </w:p>
    <w:p w:rsidR="00C05CF7" w:rsidRDefault="00C05CF7" w:rsidP="00C05CF7">
      <w:pPr>
        <w:rPr>
          <w:rFonts w:ascii="Times New Roman" w:hAnsi="Times New Roman"/>
          <w:color w:val="000000" w:themeColor="text1"/>
        </w:rPr>
      </w:pPr>
      <w:r>
        <w:rPr>
          <w:rFonts w:ascii="Times New Roman" w:hAnsi="Times New Roman"/>
          <w:color w:val="000000" w:themeColor="text1"/>
        </w:rPr>
        <w:t>19 Pelplińska Street</w:t>
      </w:r>
    </w:p>
    <w:p w:rsidR="00C05CF7" w:rsidRDefault="00C05CF7" w:rsidP="00C05CF7">
      <w:pPr>
        <w:rPr>
          <w:rFonts w:ascii="Times New Roman" w:hAnsi="Times New Roman"/>
          <w:color w:val="000000" w:themeColor="text1"/>
        </w:rPr>
      </w:pPr>
      <w:r>
        <w:rPr>
          <w:rFonts w:ascii="Times New Roman" w:hAnsi="Times New Roman"/>
          <w:color w:val="000000" w:themeColor="text1"/>
        </w:rPr>
        <w:t>83-200 Starogard Gdański</w:t>
      </w:r>
    </w:p>
    <w:p w:rsidR="00C05CF7" w:rsidRDefault="00C05CF7" w:rsidP="00C05CF7">
      <w:pPr>
        <w:pStyle w:val="Default"/>
        <w:rPr>
          <w:color w:val="000000" w:themeColor="text1"/>
          <w:sz w:val="22"/>
          <w:szCs w:val="22"/>
        </w:rPr>
      </w:pPr>
      <w:r>
        <w:rPr>
          <w:color w:val="000000" w:themeColor="text1"/>
          <w:sz w:val="22"/>
          <w:szCs w:val="22"/>
        </w:rPr>
        <w:t>Lenkija</w:t>
      </w:r>
    </w:p>
    <w:p w:rsidR="00C05CF7" w:rsidRDefault="00C05CF7" w:rsidP="00C05CF7">
      <w:pPr>
        <w:pStyle w:val="Default"/>
        <w:rPr>
          <w:color w:val="000000" w:themeColor="text1"/>
          <w:sz w:val="22"/>
          <w:szCs w:val="22"/>
        </w:rPr>
      </w:pPr>
    </w:p>
    <w:p w:rsidR="00C05CF7" w:rsidRDefault="00C05CF7" w:rsidP="00C05CF7">
      <w:pPr>
        <w:pStyle w:val="PI-3EMEASMCA"/>
        <w:rPr>
          <w:u w:val="single"/>
        </w:rPr>
      </w:pPr>
      <w:r>
        <w:rPr>
          <w:u w:val="single"/>
        </w:rPr>
        <w:t>Gamintojas</w:t>
      </w:r>
    </w:p>
    <w:p w:rsidR="00C05CF7" w:rsidRDefault="00C05CF7" w:rsidP="00C05CF7">
      <w:pPr>
        <w:rPr>
          <w:rFonts w:ascii="Times New Roman" w:hAnsi="Times New Roman"/>
          <w:color w:val="000000" w:themeColor="text1"/>
        </w:rPr>
      </w:pPr>
      <w:r>
        <w:rPr>
          <w:rFonts w:ascii="Times New Roman" w:hAnsi="Times New Roman"/>
          <w:color w:val="000000" w:themeColor="text1"/>
        </w:rPr>
        <w:t>Warsaw Pharmaceutical Works Polfa S.A.</w:t>
      </w:r>
    </w:p>
    <w:p w:rsidR="00C05CF7" w:rsidRDefault="00C05CF7" w:rsidP="00C05CF7">
      <w:pPr>
        <w:rPr>
          <w:rFonts w:ascii="Times New Roman" w:hAnsi="Times New Roman"/>
          <w:color w:val="000000" w:themeColor="text1"/>
        </w:rPr>
      </w:pPr>
      <w:r>
        <w:rPr>
          <w:rFonts w:ascii="Times New Roman" w:hAnsi="Times New Roman"/>
          <w:color w:val="000000" w:themeColor="text1"/>
        </w:rPr>
        <w:t>22/24 Karolkowa Street</w:t>
      </w:r>
    </w:p>
    <w:p w:rsidR="00C05CF7" w:rsidRDefault="00C05CF7" w:rsidP="00C05CF7">
      <w:pPr>
        <w:rPr>
          <w:rFonts w:ascii="Times New Roman" w:hAnsi="Times New Roman"/>
          <w:color w:val="000000" w:themeColor="text1"/>
        </w:rPr>
      </w:pPr>
      <w:r>
        <w:rPr>
          <w:rFonts w:ascii="Times New Roman" w:hAnsi="Times New Roman"/>
          <w:color w:val="000000" w:themeColor="text1"/>
        </w:rPr>
        <w:t>01-207 Warszawa</w:t>
      </w:r>
    </w:p>
    <w:p w:rsidR="00C05CF7" w:rsidRDefault="00C05CF7" w:rsidP="00C05CF7">
      <w:pPr>
        <w:rPr>
          <w:rFonts w:ascii="Times New Roman" w:hAnsi="Times New Roman"/>
          <w:color w:val="000000" w:themeColor="text1"/>
        </w:rPr>
      </w:pPr>
      <w:r>
        <w:rPr>
          <w:rFonts w:ascii="Times New Roman" w:hAnsi="Times New Roman"/>
          <w:color w:val="000000" w:themeColor="text1"/>
        </w:rPr>
        <w:t>Lenkija</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r>
        <w:rPr>
          <w:rFonts w:ascii="Times New Roman" w:hAnsi="Times New Roman"/>
          <w:color w:val="000000" w:themeColor="text1"/>
        </w:rPr>
        <w:t>Jeigu apie šį vaistą norite sužinoti daugiau, kreipkitės į vietinį registruotojo atstovą.</w:t>
      </w:r>
    </w:p>
    <w:p w:rsidR="00C05CF7" w:rsidRDefault="00C05CF7" w:rsidP="00C05CF7">
      <w:pPr>
        <w:rPr>
          <w:rFonts w:ascii="Times New Roman" w:hAnsi="Times New Roman"/>
          <w:color w:val="000000" w:themeColor="text1"/>
        </w:rPr>
      </w:pPr>
    </w:p>
    <w:p w:rsidR="00C05CF7" w:rsidRDefault="00C05CF7" w:rsidP="00C05CF7">
      <w:r>
        <w:t>POLPHARMA S.A. atstovybė Lietuvoje</w:t>
      </w:r>
    </w:p>
    <w:p w:rsidR="00C05CF7" w:rsidRDefault="00C05CF7" w:rsidP="00C05CF7">
      <w:r>
        <w:t>E.Ožeškienės g. 18A</w:t>
      </w:r>
    </w:p>
    <w:p w:rsidR="00C05CF7" w:rsidRDefault="00C05CF7" w:rsidP="00C05CF7">
      <w:r>
        <w:t>LT-44254 Kaunas</w:t>
      </w:r>
    </w:p>
    <w:p w:rsidR="00C05CF7" w:rsidRDefault="00C05CF7" w:rsidP="00C05CF7">
      <w:r>
        <w:t>Tel. +370 37 325131</w:t>
      </w:r>
    </w:p>
    <w:p w:rsidR="00C05CF7" w:rsidRDefault="00C05CF7" w:rsidP="00C05CF7">
      <w:pPr>
        <w:numPr>
          <w:ilvl w:val="12"/>
          <w:numId w:val="0"/>
        </w:numPr>
        <w:ind w:right="-2"/>
        <w:rPr>
          <w:rFonts w:ascii="Times New Roman" w:hAnsi="Times New Roman"/>
        </w:rPr>
      </w:pPr>
    </w:p>
    <w:p w:rsidR="00C05CF7" w:rsidRDefault="00C05CF7" w:rsidP="00C05CF7">
      <w:pPr>
        <w:numPr>
          <w:ilvl w:val="12"/>
          <w:numId w:val="0"/>
        </w:numPr>
        <w:ind w:right="-2"/>
        <w:rPr>
          <w:rFonts w:ascii="Times New Roman" w:hAnsi="Times New Roman"/>
        </w:rPr>
      </w:pPr>
      <w:r>
        <w:rPr>
          <w:rFonts w:ascii="Times New Roman" w:hAnsi="Times New Roman"/>
          <w:b/>
        </w:rPr>
        <w:t>Šis vaistas EEE valstybėse narėse registruotas tokiais pavadinimais</w:t>
      </w:r>
      <w:r>
        <w:rPr>
          <w:rFonts w:ascii="Times New Roman" w:hAnsi="Times New Roman"/>
        </w:rPr>
        <w:t>:</w:t>
      </w:r>
    </w:p>
    <w:p w:rsidR="00C05CF7" w:rsidRDefault="00C05CF7" w:rsidP="00C05CF7">
      <w:pPr>
        <w:pStyle w:val="Default"/>
        <w:rPr>
          <w:sz w:val="22"/>
          <w:szCs w:val="22"/>
          <w:lang w:val="bg-BG"/>
        </w:rPr>
      </w:pPr>
      <w:r>
        <w:rPr>
          <w:sz w:val="22"/>
          <w:szCs w:val="22"/>
        </w:rPr>
        <w:t>Bulgarija</w:t>
      </w:r>
      <w:r>
        <w:rPr>
          <w:sz w:val="22"/>
          <w:szCs w:val="22"/>
        </w:rPr>
        <w:tab/>
      </w:r>
      <w:r>
        <w:rPr>
          <w:bCs/>
          <w:sz w:val="22"/>
          <w:szCs w:val="22"/>
          <w:lang w:val="bg-BG"/>
        </w:rPr>
        <w:t>Амиптифри</w:t>
      </w:r>
      <w:r>
        <w:rPr>
          <w:sz w:val="22"/>
          <w:szCs w:val="22"/>
          <w:lang w:val="bg-BG"/>
        </w:rPr>
        <w:t xml:space="preserve"> </w:t>
      </w:r>
      <w:r>
        <w:rPr>
          <w:bCs/>
          <w:sz w:val="22"/>
          <w:szCs w:val="22"/>
          <w:lang w:val="bg-BG"/>
        </w:rPr>
        <w:t>20 mg</w:t>
      </w:r>
      <w:r w:rsidRPr="00481143">
        <w:rPr>
          <w:bCs/>
          <w:sz w:val="22"/>
          <w:szCs w:val="22"/>
          <w:lang w:val="ru-RU"/>
        </w:rPr>
        <w:t>/</w:t>
      </w:r>
      <w:r>
        <w:rPr>
          <w:bCs/>
          <w:sz w:val="22"/>
          <w:szCs w:val="22"/>
          <w:lang w:val="pl-PL"/>
        </w:rPr>
        <w:t>ml</w:t>
      </w:r>
      <w:r>
        <w:rPr>
          <w:bCs/>
          <w:sz w:val="22"/>
          <w:szCs w:val="22"/>
          <w:lang w:val="bg-BG"/>
        </w:rPr>
        <w:t xml:space="preserve"> + 5 mg/ml, капки за очи, разтвор</w:t>
      </w:r>
    </w:p>
    <w:p w:rsidR="00C05CF7" w:rsidRDefault="00C05CF7" w:rsidP="00C05CF7">
      <w:r>
        <w:rPr>
          <w:lang w:val="lv-LV"/>
        </w:rPr>
        <w:t>Latvija</w:t>
      </w:r>
      <w:r>
        <w:rPr>
          <w:lang w:val="lv-LV"/>
        </w:rPr>
        <w:tab/>
      </w:r>
      <w:r>
        <w:rPr>
          <w:lang w:val="lv-LV"/>
        </w:rPr>
        <w:tab/>
      </w:r>
      <w:r>
        <w:t>Amiptinon 20 mg/5 mg/ml acu pilieni, šķīdums</w:t>
      </w:r>
    </w:p>
    <w:p w:rsidR="00C05CF7" w:rsidRDefault="00C05CF7" w:rsidP="00C05CF7">
      <w:pPr>
        <w:rPr>
          <w:rFonts w:ascii="Times New Roman" w:hAnsi="Times New Roman"/>
          <w:color w:val="000000" w:themeColor="text1"/>
        </w:rPr>
      </w:pPr>
      <w:r>
        <w:rPr>
          <w:rFonts w:ascii="Times New Roman" w:hAnsi="Times New Roman"/>
          <w:color w:val="000000" w:themeColor="text1"/>
        </w:rPr>
        <w:t>Lenkija</w:t>
      </w:r>
      <w:r>
        <w:rPr>
          <w:rFonts w:ascii="Times New Roman" w:hAnsi="Times New Roman"/>
        </w:rPr>
        <w:t xml:space="preserve"> </w:t>
      </w:r>
      <w:r>
        <w:rPr>
          <w:rFonts w:ascii="Times New Roman" w:hAnsi="Times New Roman"/>
        </w:rPr>
        <w:tab/>
        <w:t>Nodofree Combi</w:t>
      </w:r>
    </w:p>
    <w:p w:rsidR="00C05CF7" w:rsidRDefault="00C05CF7" w:rsidP="00C05CF7">
      <w:pPr>
        <w:autoSpaceDE w:val="0"/>
        <w:autoSpaceDN w:val="0"/>
        <w:adjustRightInd w:val="0"/>
        <w:rPr>
          <w:rFonts w:ascii="Times New Roman" w:hAnsi="Times New Roman"/>
          <w:color w:val="000000"/>
        </w:rPr>
      </w:pPr>
      <w:r>
        <w:rPr>
          <w:rFonts w:ascii="Times New Roman" w:hAnsi="Times New Roman"/>
          <w:lang w:val="lv-LV"/>
        </w:rPr>
        <w:t>Lietuva</w:t>
      </w:r>
      <w:r>
        <w:rPr>
          <w:rFonts w:ascii="Times New Roman" w:hAnsi="Times New Roman"/>
          <w:bCs/>
        </w:rPr>
        <w:t xml:space="preserve"> </w:t>
      </w:r>
      <w:r>
        <w:rPr>
          <w:rFonts w:ascii="Times New Roman" w:hAnsi="Times New Roman"/>
          <w:bCs/>
        </w:rPr>
        <w:tab/>
        <w:t>Amiptifree 20 mg/5 mg/ml akių lašai</w:t>
      </w:r>
      <w:r>
        <w:rPr>
          <w:rFonts w:ascii="Times New Roman" w:hAnsi="Times New Roman"/>
          <w:bCs/>
          <w:noProof/>
        </w:rPr>
        <w:t xml:space="preserve"> (tirpalas)</w:t>
      </w:r>
    </w:p>
    <w:p w:rsidR="00C05CF7" w:rsidRDefault="00C05CF7" w:rsidP="00C05CF7"/>
    <w:p w:rsidR="00C05CF7" w:rsidRDefault="00C05CF7" w:rsidP="00C05CF7">
      <w:pPr>
        <w:pStyle w:val="BTEMEASMCA"/>
      </w:pPr>
    </w:p>
    <w:p w:rsidR="00C05CF7" w:rsidRDefault="00C05CF7" w:rsidP="00C05CF7">
      <w:pPr>
        <w:rPr>
          <w:rFonts w:ascii="Times New Roman" w:hAnsi="Times New Roman"/>
          <w:color w:val="000000" w:themeColor="text1"/>
        </w:rPr>
      </w:pPr>
      <w:r>
        <w:rPr>
          <w:rFonts w:ascii="Times New Roman" w:hAnsi="Times New Roman"/>
          <w:b/>
        </w:rPr>
        <w:t>Šis pakuotės lapelis paskutinį kartą peržiūrėtas 2021-07-20.</w:t>
      </w:r>
    </w:p>
    <w:p w:rsidR="00C05CF7" w:rsidRDefault="00C05CF7" w:rsidP="00C05CF7">
      <w:pPr>
        <w:rPr>
          <w:rFonts w:ascii="Times New Roman" w:hAnsi="Times New Roman"/>
          <w:color w:val="000000" w:themeColor="text1"/>
        </w:rPr>
      </w:pPr>
    </w:p>
    <w:p w:rsidR="00C05CF7" w:rsidRDefault="00C05CF7" w:rsidP="00C05CF7">
      <w:pPr>
        <w:rPr>
          <w:rFonts w:ascii="Times New Roman" w:hAnsi="Times New Roman"/>
          <w:color w:val="000000" w:themeColor="text1"/>
        </w:rPr>
      </w:pPr>
    </w:p>
    <w:p w:rsidR="00C05CF7" w:rsidRDefault="00C05CF7" w:rsidP="00C05CF7">
      <w:pPr>
        <w:tabs>
          <w:tab w:val="left" w:pos="0"/>
        </w:tabs>
        <w:outlineLvl w:val="0"/>
        <w:rPr>
          <w:rFonts w:ascii="Times New Roman" w:hAnsi="Times New Roman"/>
          <w:caps/>
          <w:color w:val="000000" w:themeColor="text1"/>
        </w:rPr>
      </w:pPr>
      <w:r>
        <w:rPr>
          <w:rFonts w:ascii="Times New Roman" w:hAnsi="Times New Roman"/>
          <w:color w:val="000000" w:themeColor="text1"/>
        </w:rPr>
        <w:t xml:space="preserve">Išsami informacija apie šį vaistą pateikiama Valstybinės vaistų kontrolės tarnybos prie Lietuvos Respublikos sveikatos apsaugos ministerijos tinklalapyje </w:t>
      </w:r>
      <w:hyperlink r:id="rId12" w:history="1">
        <w:r w:rsidRPr="00A75088">
          <w:rPr>
            <w:rStyle w:val="Hyperlink"/>
            <w:rFonts w:eastAsia="SimSun"/>
          </w:rPr>
          <w:t>http://www.vvkt.lt/</w:t>
        </w:r>
      </w:hyperlink>
      <w:r>
        <w:rPr>
          <w:rFonts w:ascii="Times New Roman" w:hAnsi="Times New Roman"/>
          <w:color w:val="000000" w:themeColor="text1"/>
        </w:rPr>
        <w:t>.</w:t>
      </w:r>
    </w:p>
    <w:p w:rsidR="00B4100F" w:rsidRDefault="00B4100F"/>
    <w:sectPr w:rsidR="00B41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3D3"/>
    <w:multiLevelType w:val="hybridMultilevel"/>
    <w:tmpl w:val="C33EC4B0"/>
    <w:lvl w:ilvl="0" w:tplc="E75667AE">
      <w:start w:val="6"/>
      <w:numFmt w:val="bullet"/>
      <w:lvlText w:val="-"/>
      <w:lvlJc w:val="left"/>
      <w:pPr>
        <w:tabs>
          <w:tab w:val="num" w:pos="567"/>
        </w:tabs>
        <w:ind w:left="567" w:hanging="567"/>
      </w:pPr>
      <w:rPr>
        <w:rFonts w:ascii="Times New Roman" w:eastAsia="Times New Roman" w:hAnsi="Times New Roman"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6096DF12"/>
    <w:lvl w:ilvl="0" w:tplc="527E15C0">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4359B"/>
    <w:multiLevelType w:val="hybridMultilevel"/>
    <w:tmpl w:val="6C64952E"/>
    <w:lvl w:ilvl="0" w:tplc="95D47D8A">
      <w:start w:val="1"/>
      <w:numFmt w:val="bullet"/>
      <w:lvlText w:val="-"/>
      <w:lvlJc w:val="left"/>
      <w:pPr>
        <w:tabs>
          <w:tab w:val="num" w:pos="397"/>
        </w:tabs>
        <w:ind w:left="397" w:hanging="397"/>
      </w:pPr>
      <w:rPr>
        <w:rFonts w:ascii="Times New Roman" w:hAnsi="Times New Roman"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F22E5"/>
    <w:multiLevelType w:val="hybridMultilevel"/>
    <w:tmpl w:val="CB00775C"/>
    <w:lvl w:ilvl="0" w:tplc="A3AEBC84">
      <w:start w:val="1"/>
      <w:numFmt w:val="bullet"/>
      <w:lvlText w:val="-"/>
      <w:lvlJc w:val="left"/>
      <w:pPr>
        <w:tabs>
          <w:tab w:val="num" w:pos="567"/>
        </w:tabs>
        <w:ind w:left="567" w:hanging="567"/>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76755776">
    <w:abstractNumId w:val="1"/>
  </w:num>
  <w:num w:numId="2" w16cid:durableId="611398933">
    <w:abstractNumId w:val="2"/>
  </w:num>
  <w:num w:numId="3" w16cid:durableId="662586580">
    <w:abstractNumId w:val="3"/>
  </w:num>
  <w:num w:numId="4" w16cid:durableId="76993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F7"/>
    <w:rsid w:val="00B4100F"/>
    <w:rsid w:val="00C0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61E4-B833-4BA2-9B90-0CCB7D9B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C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5CF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lt-LT" w:eastAsia="lt-LT"/>
    </w:rPr>
  </w:style>
  <w:style w:type="paragraph" w:styleId="Heading3">
    <w:name w:val="heading 3"/>
    <w:basedOn w:val="Normal"/>
    <w:next w:val="Normal"/>
    <w:link w:val="Heading3Char"/>
    <w:uiPriority w:val="9"/>
    <w:semiHidden/>
    <w:unhideWhenUsed/>
    <w:qFormat/>
    <w:rsid w:val="00C05CF7"/>
    <w:pPr>
      <w:keepNext/>
      <w:keepLines/>
      <w:spacing w:before="200" w:after="0" w:line="240" w:lineRule="auto"/>
      <w:outlineLvl w:val="2"/>
    </w:pPr>
    <w:rPr>
      <w:rFonts w:asciiTheme="majorHAnsi" w:eastAsiaTheme="majorEastAsia" w:hAnsiTheme="majorHAnsi" w:cstheme="majorBidi"/>
      <w:b/>
      <w:bCs/>
      <w:color w:val="4472C4" w:themeColor="accent1"/>
      <w:sz w:val="24"/>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5CF7"/>
    <w:rPr>
      <w:rFonts w:asciiTheme="majorHAnsi" w:eastAsiaTheme="majorEastAsia" w:hAnsiTheme="majorHAnsi" w:cstheme="majorBidi"/>
      <w:b/>
      <w:bCs/>
      <w:color w:val="4472C4" w:themeColor="accent1"/>
      <w:sz w:val="26"/>
      <w:szCs w:val="26"/>
      <w:lang w:val="lt-LT" w:eastAsia="lt-LT"/>
    </w:rPr>
  </w:style>
  <w:style w:type="character" w:customStyle="1" w:styleId="Heading3Char">
    <w:name w:val="Heading 3 Char"/>
    <w:basedOn w:val="DefaultParagraphFont"/>
    <w:link w:val="Heading3"/>
    <w:uiPriority w:val="9"/>
    <w:semiHidden/>
    <w:rsid w:val="00C05CF7"/>
    <w:rPr>
      <w:rFonts w:asciiTheme="majorHAnsi" w:eastAsiaTheme="majorEastAsia" w:hAnsiTheme="majorHAnsi" w:cstheme="majorBidi"/>
      <w:b/>
      <w:bCs/>
      <w:color w:val="4472C4" w:themeColor="accent1"/>
      <w:sz w:val="24"/>
      <w:szCs w:val="20"/>
      <w:lang w:val="lt-LT" w:eastAsia="lt-LT"/>
    </w:rPr>
  </w:style>
  <w:style w:type="character" w:styleId="Hyperlink">
    <w:name w:val="Hyperlink"/>
    <w:uiPriority w:val="99"/>
    <w:unhideWhenUsed/>
    <w:rsid w:val="00C05CF7"/>
    <w:rPr>
      <w:color w:val="0000FF"/>
      <w:u w:val="single"/>
    </w:rPr>
  </w:style>
  <w:style w:type="paragraph" w:styleId="Title">
    <w:name w:val="Title"/>
    <w:basedOn w:val="Normal"/>
    <w:link w:val="TitleChar"/>
    <w:qFormat/>
    <w:rsid w:val="00C05CF7"/>
    <w:pPr>
      <w:spacing w:after="0" w:line="240" w:lineRule="auto"/>
      <w:jc w:val="center"/>
    </w:pPr>
    <w:rPr>
      <w:rFonts w:ascii="Times New Roman" w:eastAsia="Times New Roman" w:hAnsi="Times New Roman" w:cs="Times New Roman"/>
      <w:b/>
      <w:sz w:val="26"/>
      <w:szCs w:val="20"/>
      <w:lang w:val="lt-LT" w:eastAsia="lt-LT"/>
    </w:rPr>
  </w:style>
  <w:style w:type="character" w:customStyle="1" w:styleId="TitleChar">
    <w:name w:val="Title Char"/>
    <w:basedOn w:val="DefaultParagraphFont"/>
    <w:link w:val="Title"/>
    <w:rsid w:val="00C05CF7"/>
    <w:rPr>
      <w:rFonts w:ascii="Times New Roman" w:eastAsia="Times New Roman" w:hAnsi="Times New Roman" w:cs="Times New Roman"/>
      <w:b/>
      <w:sz w:val="26"/>
      <w:szCs w:val="20"/>
      <w:lang w:val="lt-LT" w:eastAsia="lt-LT"/>
    </w:rPr>
  </w:style>
  <w:style w:type="paragraph" w:styleId="BodyText">
    <w:name w:val="Body Text"/>
    <w:basedOn w:val="Normal"/>
    <w:link w:val="BodyTextChar"/>
    <w:unhideWhenUsed/>
    <w:rsid w:val="00C05CF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C05CF7"/>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C05CF7"/>
    <w:pPr>
      <w:spacing w:after="0" w:line="240" w:lineRule="auto"/>
      <w:ind w:left="720"/>
      <w:contextualSpacing/>
    </w:pPr>
    <w:rPr>
      <w:rFonts w:ascii="TimesLT" w:eastAsia="Times New Roman" w:hAnsi="TimesLT" w:cs="Times New Roman"/>
      <w:sz w:val="24"/>
      <w:szCs w:val="20"/>
      <w:lang w:val="lt-LT" w:eastAsia="lt-LT"/>
    </w:rPr>
  </w:style>
  <w:style w:type="character" w:customStyle="1" w:styleId="BTEMEASMCAChar">
    <w:name w:val="BT EMEA_SMCA Char"/>
    <w:link w:val="BTEMEASMCA"/>
    <w:uiPriority w:val="99"/>
    <w:locked/>
    <w:rsid w:val="00C05CF7"/>
    <w:rPr>
      <w:rFonts w:ascii="Times New Roman" w:eastAsia="Arial Unicode MS" w:hAnsi="Times New Roman" w:cs="Times New Roman"/>
      <w:noProof/>
      <w:lang w:val="lt-LT"/>
    </w:rPr>
  </w:style>
  <w:style w:type="paragraph" w:customStyle="1" w:styleId="BTEMEASMCA">
    <w:name w:val="BT EMEA_SMCA"/>
    <w:basedOn w:val="Normal"/>
    <w:link w:val="BTEMEASMCAChar"/>
    <w:autoRedefine/>
    <w:uiPriority w:val="99"/>
    <w:rsid w:val="00C05CF7"/>
    <w:pPr>
      <w:spacing w:after="0" w:line="240" w:lineRule="auto"/>
    </w:pPr>
    <w:rPr>
      <w:rFonts w:ascii="Times New Roman" w:eastAsia="Arial Unicode MS" w:hAnsi="Times New Roman" w:cs="Times New Roman"/>
      <w:noProof/>
      <w:lang w:val="lt-LT"/>
    </w:rPr>
  </w:style>
  <w:style w:type="character" w:customStyle="1" w:styleId="TTEMEASMCAChar">
    <w:name w:val="TT EMEA_SMCA Char"/>
    <w:link w:val="TTEMEASMCA"/>
    <w:locked/>
    <w:rsid w:val="00C05CF7"/>
    <w:rPr>
      <w:rFonts w:ascii="Times New Roman" w:eastAsia="Times New Roman" w:hAnsi="Times New Roman" w:cs="Times New Roman"/>
      <w:b/>
      <w:caps/>
      <w:lang w:val="lt-LT"/>
    </w:rPr>
  </w:style>
  <w:style w:type="paragraph" w:customStyle="1" w:styleId="TTEMEASMCA">
    <w:name w:val="TT EMEA_SMCA"/>
    <w:basedOn w:val="Heading1"/>
    <w:link w:val="TTEMEASMCAChar"/>
    <w:autoRedefine/>
    <w:rsid w:val="00C05CF7"/>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lang w:val="lt-LT"/>
    </w:rPr>
  </w:style>
  <w:style w:type="paragraph" w:customStyle="1" w:styleId="PI-1EMEASMCA">
    <w:name w:val="PI-1 EMEA_SMCA"/>
    <w:basedOn w:val="Heading2"/>
    <w:autoRedefine/>
    <w:rsid w:val="00C05CF7"/>
    <w:pPr>
      <w:keepLines w:val="0"/>
      <w:tabs>
        <w:tab w:val="left" w:pos="567"/>
      </w:tabs>
      <w:spacing w:before="0"/>
      <w:ind w:left="567" w:hanging="567"/>
    </w:pPr>
    <w:rPr>
      <w:rFonts w:ascii="Times New Roman" w:eastAsia="Times New Roman" w:hAnsi="Times New Roman" w:cs="Times New Roman"/>
      <w:bCs w:val="0"/>
      <w:color w:val="auto"/>
      <w:sz w:val="22"/>
      <w:szCs w:val="22"/>
      <w:lang w:eastAsia="en-US"/>
    </w:rPr>
  </w:style>
  <w:style w:type="paragraph" w:customStyle="1" w:styleId="BT-EMEASMCA">
    <w:name w:val="BT- EMEA_SMCA"/>
    <w:basedOn w:val="BTEMEASMCA"/>
    <w:autoRedefine/>
    <w:uiPriority w:val="99"/>
    <w:rsid w:val="00C05CF7"/>
    <w:pPr>
      <w:numPr>
        <w:numId w:val="1"/>
      </w:numPr>
      <w:tabs>
        <w:tab w:val="clear" w:pos="720"/>
        <w:tab w:val="num" w:pos="360"/>
        <w:tab w:val="left" w:pos="4253"/>
      </w:tabs>
      <w:ind w:left="360" w:hanging="360"/>
    </w:pPr>
  </w:style>
  <w:style w:type="paragraph" w:customStyle="1" w:styleId="BTbEMEASMCA">
    <w:name w:val="BT(b) EMEA_SMCA"/>
    <w:basedOn w:val="BTEMEASMCA"/>
    <w:autoRedefine/>
    <w:rsid w:val="00C05CF7"/>
    <w:rPr>
      <w:b/>
      <w:bCs/>
    </w:rPr>
  </w:style>
  <w:style w:type="paragraph" w:customStyle="1" w:styleId="PI-3EMEASMCA">
    <w:name w:val="PI-3 EMEA_SMCA"/>
    <w:basedOn w:val="Normal"/>
    <w:autoRedefine/>
    <w:rsid w:val="00C05CF7"/>
    <w:pPr>
      <w:spacing w:after="0" w:line="240" w:lineRule="auto"/>
    </w:pPr>
    <w:rPr>
      <w:rFonts w:ascii="Times New Roman" w:eastAsia="Times New Roman" w:hAnsi="Times New Roman" w:cs="Times New Roman"/>
      <w:bCs/>
      <w:color w:val="000000" w:themeColor="text1"/>
      <w:lang w:val="lt-LT"/>
    </w:rPr>
  </w:style>
  <w:style w:type="character" w:customStyle="1" w:styleId="DefaultZnak">
    <w:name w:val="Default Znak"/>
    <w:link w:val="Default"/>
    <w:locked/>
    <w:rsid w:val="00C05CF7"/>
    <w:rPr>
      <w:rFonts w:ascii="Times New Roman" w:eastAsia="Times New Roman" w:hAnsi="Times New Roman" w:cs="Times New Roman"/>
      <w:color w:val="000000"/>
      <w:sz w:val="24"/>
      <w:szCs w:val="24"/>
      <w:lang w:val="lt-LT" w:eastAsia="lt-LT"/>
    </w:rPr>
  </w:style>
  <w:style w:type="paragraph" w:customStyle="1" w:styleId="Default">
    <w:name w:val="Default"/>
    <w:link w:val="DefaultZnak"/>
    <w:rsid w:val="00C05CF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Sraopastraipa2">
    <w:name w:val="Sąrašo pastraipa2"/>
    <w:basedOn w:val="Normal"/>
    <w:uiPriority w:val="34"/>
    <w:qFormat/>
    <w:rsid w:val="00C05CF7"/>
    <w:pPr>
      <w:spacing w:after="0" w:line="240" w:lineRule="auto"/>
      <w:ind w:left="720"/>
      <w:contextualSpacing/>
    </w:pPr>
    <w:rPr>
      <w:rFonts w:ascii="TimesLT" w:eastAsia="Times New Roman" w:hAnsi="TimesLT" w:cs="Times New Roman"/>
      <w:sz w:val="24"/>
      <w:szCs w:val="20"/>
      <w:lang w:val="lt-LT" w:eastAsia="lt-LT"/>
    </w:rPr>
  </w:style>
  <w:style w:type="paragraph" w:customStyle="1" w:styleId="Sraopastraipa1">
    <w:name w:val="Sąrašo pastraipa1"/>
    <w:basedOn w:val="Normal"/>
    <w:qFormat/>
    <w:rsid w:val="00C05CF7"/>
    <w:pPr>
      <w:spacing w:after="0" w:line="240" w:lineRule="auto"/>
      <w:ind w:left="720"/>
      <w:contextualSpacing/>
    </w:pPr>
    <w:rPr>
      <w:rFonts w:ascii="TimesLT" w:eastAsia="Times New Roman" w:hAnsi="TimesLT" w:cs="Times New Roman"/>
      <w:sz w:val="24"/>
      <w:szCs w:val="20"/>
      <w:lang w:val="lt-LT" w:eastAsia="lt-LT"/>
    </w:rPr>
  </w:style>
  <w:style w:type="character" w:customStyle="1" w:styleId="Heading1Char">
    <w:name w:val="Heading 1 Char"/>
    <w:basedOn w:val="DefaultParagraphFont"/>
    <w:link w:val="Heading1"/>
    <w:uiPriority w:val="9"/>
    <w:rsid w:val="00C05C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2980</Words>
  <Characters>16988</Characters>
  <Application>Microsoft Office Word</Application>
  <DocSecurity>0</DocSecurity>
  <Lines>141</Lines>
  <Paragraphs>39</Paragraphs>
  <ScaleCrop>false</ScaleCrop>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2022-04-20T07:17:00Z</dcterms:created>
  <dcterms:modified xsi:type="dcterms:W3CDTF">2022-04-20T07:17:00Z</dcterms:modified>
</cp:coreProperties>
</file>