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7D3D" w:rsidRPr="005C021A" w:rsidRDefault="009A7D3D" w:rsidP="009A7D3D">
      <w:pPr>
        <w:ind w:left="2661"/>
        <w:rPr>
          <w:sz w:val="20"/>
          <w:szCs w:val="20"/>
        </w:rPr>
      </w:pPr>
      <w:r w:rsidRPr="005C021A">
        <w:rPr>
          <w:rFonts w:eastAsia="Times New Roman"/>
          <w:b/>
          <w:bCs/>
        </w:rPr>
        <w:t>Pakuotės lapelis: informacija vartotojui</w:t>
      </w:r>
    </w:p>
    <w:p w:rsidR="009A7D3D" w:rsidRPr="005C021A" w:rsidRDefault="009A7D3D" w:rsidP="009A7D3D">
      <w:pPr>
        <w:spacing w:line="254" w:lineRule="exact"/>
        <w:rPr>
          <w:sz w:val="20"/>
          <w:szCs w:val="20"/>
        </w:rPr>
      </w:pPr>
    </w:p>
    <w:p w:rsidR="009A7D3D" w:rsidRPr="005C021A" w:rsidRDefault="009A7D3D" w:rsidP="009A7D3D">
      <w:pPr>
        <w:ind w:left="3081"/>
        <w:rPr>
          <w:sz w:val="20"/>
          <w:szCs w:val="20"/>
        </w:rPr>
      </w:pPr>
      <w:r w:rsidRPr="005C021A">
        <w:rPr>
          <w:rFonts w:eastAsia="Times New Roman"/>
          <w:b/>
          <w:bCs/>
        </w:rPr>
        <w:t>Nuvaxovid injekcinė dispersija</w:t>
      </w:r>
    </w:p>
    <w:p w:rsidR="009A7D3D" w:rsidRPr="005C021A" w:rsidRDefault="009A7D3D" w:rsidP="009A7D3D">
      <w:pPr>
        <w:ind w:right="-34"/>
        <w:jc w:val="center"/>
        <w:rPr>
          <w:sz w:val="20"/>
          <w:szCs w:val="20"/>
        </w:rPr>
      </w:pPr>
      <w:r w:rsidRPr="005C021A">
        <w:rPr>
          <w:rFonts w:eastAsia="Times New Roman"/>
        </w:rPr>
        <w:t>COVID-19 vakcina (rekombinantinė, adjuvantinė)</w:t>
      </w:r>
    </w:p>
    <w:p w:rsidR="009A7D3D" w:rsidRPr="005C021A" w:rsidRDefault="009A7D3D" w:rsidP="009A7D3D">
      <w:pPr>
        <w:spacing w:line="282" w:lineRule="exact"/>
        <w:rPr>
          <w:sz w:val="20"/>
          <w:szCs w:val="20"/>
        </w:rPr>
      </w:pPr>
    </w:p>
    <w:p w:rsidR="009A7D3D" w:rsidRPr="005C021A" w:rsidRDefault="009A7D3D" w:rsidP="009A7D3D">
      <w:pPr>
        <w:spacing w:line="245" w:lineRule="auto"/>
        <w:ind w:left="1" w:right="206"/>
        <w:rPr>
          <w:sz w:val="20"/>
          <w:szCs w:val="20"/>
        </w:rPr>
      </w:pPr>
      <w:r w:rsidRPr="005C021A">
        <w:rPr>
          <w:noProof/>
          <w:sz w:val="1"/>
          <w:szCs w:val="1"/>
        </w:rPr>
        <w:drawing>
          <wp:inline distT="0" distB="0" distL="0" distR="0" wp14:anchorId="6382DEC2" wp14:editId="2EA8A2F3">
            <wp:extent cx="198120" cy="17272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srcRect/>
                    <a:stretch>
                      <a:fillRect/>
                    </a:stretch>
                  </pic:blipFill>
                  <pic:spPr bwMode="auto">
                    <a:xfrm>
                      <a:off x="0" y="0"/>
                      <a:ext cx="198120" cy="172720"/>
                    </a:xfrm>
                    <a:prstGeom prst="rect">
                      <a:avLst/>
                    </a:prstGeom>
                    <a:noFill/>
                    <a:ln>
                      <a:noFill/>
                    </a:ln>
                  </pic:spPr>
                </pic:pic>
              </a:graphicData>
            </a:graphic>
          </wp:inline>
        </w:drawing>
      </w:r>
      <w:r w:rsidRPr="005C021A">
        <w:rPr>
          <w:rFonts w:eastAsia="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9A7D3D" w:rsidRPr="005C021A" w:rsidRDefault="009A7D3D" w:rsidP="009A7D3D">
      <w:pPr>
        <w:spacing w:line="209" w:lineRule="exact"/>
        <w:rPr>
          <w:sz w:val="20"/>
          <w:szCs w:val="20"/>
        </w:rPr>
      </w:pPr>
    </w:p>
    <w:p w:rsidR="009A7D3D" w:rsidRPr="005C021A" w:rsidRDefault="009A7D3D" w:rsidP="009A7D3D">
      <w:pPr>
        <w:spacing w:line="239" w:lineRule="auto"/>
        <w:ind w:left="1" w:right="646"/>
        <w:rPr>
          <w:sz w:val="20"/>
          <w:szCs w:val="20"/>
        </w:rPr>
      </w:pPr>
      <w:r w:rsidRPr="005C021A">
        <w:rPr>
          <w:rFonts w:eastAsia="Times New Roman"/>
          <w:b/>
          <w:bCs/>
        </w:rPr>
        <w:t>Atidžiai perskaitykite visą šį lapelį, prieš Jus skiepijant, nes jame pateikiama Jums svarbi informacija.</w:t>
      </w:r>
    </w:p>
    <w:p w:rsidR="009A7D3D" w:rsidRPr="005C021A" w:rsidRDefault="009A7D3D" w:rsidP="009A7D3D">
      <w:pPr>
        <w:ind w:left="181"/>
        <w:rPr>
          <w:sz w:val="20"/>
          <w:szCs w:val="20"/>
        </w:rPr>
      </w:pPr>
      <w:r w:rsidRPr="005C021A">
        <w:rPr>
          <w:rFonts w:eastAsia="Times New Roman"/>
        </w:rPr>
        <w:t>Neišmeskite šio lapelio, nes vėl gali prireikti jį perskaityti.</w:t>
      </w:r>
    </w:p>
    <w:p w:rsidR="009A7D3D" w:rsidRPr="005C021A" w:rsidRDefault="009A7D3D" w:rsidP="009A7D3D">
      <w:pPr>
        <w:ind w:left="181"/>
        <w:rPr>
          <w:sz w:val="20"/>
          <w:szCs w:val="20"/>
        </w:rPr>
      </w:pPr>
      <w:r w:rsidRPr="005C021A">
        <w:rPr>
          <w:rFonts w:eastAsia="Times New Roman"/>
        </w:rPr>
        <w:t>Jeigu kiltų daugiau klausimų, kreipkitės į gydytoją, vaistininką arba slaugytoją.</w:t>
      </w:r>
    </w:p>
    <w:p w:rsidR="009A7D3D" w:rsidRPr="005C021A" w:rsidRDefault="009A7D3D" w:rsidP="009A7D3D">
      <w:pPr>
        <w:spacing w:line="1" w:lineRule="exact"/>
        <w:rPr>
          <w:sz w:val="20"/>
          <w:szCs w:val="20"/>
        </w:rPr>
      </w:pPr>
    </w:p>
    <w:p w:rsidR="009A7D3D" w:rsidRPr="005C021A" w:rsidRDefault="009A7D3D" w:rsidP="009A7D3D">
      <w:pPr>
        <w:spacing w:line="279" w:lineRule="auto"/>
        <w:ind w:left="461" w:right="6"/>
        <w:rPr>
          <w:sz w:val="20"/>
          <w:szCs w:val="20"/>
        </w:rPr>
      </w:pPr>
      <w:r w:rsidRPr="005C021A">
        <w:rPr>
          <w:rFonts w:eastAsia="Times New Roman"/>
        </w:rPr>
        <w:t>Jeigu pasireiškė šalutinis poveikis (net jeigu jis šiame lapelyje nenurodytas) kreipkitės į gydytoją, vaistininką arba slaugytoją. Žr. 4 skyrių.</w:t>
      </w:r>
    </w:p>
    <w:p w:rsidR="009A7D3D" w:rsidRPr="005C021A" w:rsidRDefault="009A7D3D" w:rsidP="009A7D3D">
      <w:pPr>
        <w:spacing w:line="172" w:lineRule="exact"/>
        <w:rPr>
          <w:sz w:val="20"/>
          <w:szCs w:val="20"/>
        </w:rPr>
      </w:pPr>
    </w:p>
    <w:p w:rsidR="009A7D3D" w:rsidRPr="005C021A" w:rsidRDefault="009A7D3D" w:rsidP="009A7D3D">
      <w:pPr>
        <w:ind w:left="1"/>
        <w:rPr>
          <w:sz w:val="20"/>
          <w:szCs w:val="20"/>
        </w:rPr>
      </w:pPr>
      <w:r w:rsidRPr="005C021A">
        <w:rPr>
          <w:rFonts w:eastAsia="Times New Roman"/>
          <w:b/>
          <w:bCs/>
        </w:rPr>
        <w:t>Apie ką rašoma šiame lapelyje?</w:t>
      </w:r>
    </w:p>
    <w:p w:rsidR="009A7D3D" w:rsidRPr="005C021A" w:rsidRDefault="009A7D3D" w:rsidP="009A7D3D">
      <w:pPr>
        <w:spacing w:line="251" w:lineRule="exact"/>
        <w:rPr>
          <w:sz w:val="20"/>
          <w:szCs w:val="20"/>
        </w:rPr>
      </w:pPr>
    </w:p>
    <w:p w:rsidR="009A7D3D" w:rsidRPr="005C021A" w:rsidRDefault="009A7D3D" w:rsidP="009A7D3D">
      <w:pPr>
        <w:numPr>
          <w:ilvl w:val="0"/>
          <w:numId w:val="1"/>
        </w:numPr>
        <w:tabs>
          <w:tab w:val="left" w:pos="561"/>
        </w:tabs>
        <w:spacing w:after="0" w:line="240" w:lineRule="auto"/>
        <w:ind w:left="561" w:hanging="561"/>
        <w:rPr>
          <w:rFonts w:eastAsia="Times New Roman"/>
        </w:rPr>
      </w:pPr>
      <w:r w:rsidRPr="005C021A">
        <w:rPr>
          <w:rFonts w:eastAsia="Times New Roman"/>
        </w:rPr>
        <w:t>Kas yra Nuvaxovid ir kam jis vartojamas</w:t>
      </w:r>
    </w:p>
    <w:p w:rsidR="009A7D3D" w:rsidRPr="005C021A" w:rsidRDefault="009A7D3D" w:rsidP="009A7D3D">
      <w:pPr>
        <w:numPr>
          <w:ilvl w:val="0"/>
          <w:numId w:val="1"/>
        </w:numPr>
        <w:tabs>
          <w:tab w:val="left" w:pos="561"/>
        </w:tabs>
        <w:spacing w:after="0" w:line="240" w:lineRule="auto"/>
        <w:ind w:left="561" w:hanging="561"/>
        <w:rPr>
          <w:rFonts w:eastAsia="Times New Roman"/>
        </w:rPr>
      </w:pPr>
      <w:r w:rsidRPr="005C021A">
        <w:rPr>
          <w:rFonts w:eastAsia="Times New Roman"/>
        </w:rPr>
        <w:t>Kas žinotina prieš vartojant Nuvaxovid</w:t>
      </w:r>
    </w:p>
    <w:p w:rsidR="009A7D3D" w:rsidRPr="005C021A" w:rsidRDefault="009A7D3D" w:rsidP="009A7D3D">
      <w:pPr>
        <w:numPr>
          <w:ilvl w:val="0"/>
          <w:numId w:val="1"/>
        </w:numPr>
        <w:tabs>
          <w:tab w:val="left" w:pos="561"/>
        </w:tabs>
        <w:spacing w:after="0" w:line="240" w:lineRule="auto"/>
        <w:ind w:left="561" w:hanging="561"/>
        <w:rPr>
          <w:rFonts w:eastAsia="Times New Roman"/>
        </w:rPr>
      </w:pPr>
      <w:r w:rsidRPr="005C021A">
        <w:rPr>
          <w:rFonts w:eastAsia="Times New Roman"/>
        </w:rPr>
        <w:t>Kaip vartoti Nuvaxovid</w:t>
      </w:r>
    </w:p>
    <w:p w:rsidR="009A7D3D" w:rsidRPr="005C021A" w:rsidRDefault="009A7D3D" w:rsidP="009A7D3D">
      <w:pPr>
        <w:spacing w:line="1" w:lineRule="exact"/>
        <w:rPr>
          <w:rFonts w:eastAsia="Times New Roman"/>
        </w:rPr>
      </w:pPr>
    </w:p>
    <w:p w:rsidR="009A7D3D" w:rsidRPr="005C021A" w:rsidRDefault="009A7D3D" w:rsidP="009A7D3D">
      <w:pPr>
        <w:numPr>
          <w:ilvl w:val="0"/>
          <w:numId w:val="1"/>
        </w:numPr>
        <w:tabs>
          <w:tab w:val="left" w:pos="561"/>
        </w:tabs>
        <w:spacing w:after="0" w:line="240" w:lineRule="auto"/>
        <w:ind w:left="561" w:hanging="561"/>
        <w:rPr>
          <w:rFonts w:eastAsia="Times New Roman"/>
        </w:rPr>
      </w:pPr>
      <w:r w:rsidRPr="005C021A">
        <w:rPr>
          <w:rFonts w:eastAsia="Times New Roman"/>
        </w:rPr>
        <w:t>Galimas šalutinis poveikis</w:t>
      </w:r>
    </w:p>
    <w:p w:rsidR="009A7D3D" w:rsidRPr="005C021A" w:rsidRDefault="009A7D3D" w:rsidP="009A7D3D">
      <w:pPr>
        <w:numPr>
          <w:ilvl w:val="0"/>
          <w:numId w:val="1"/>
        </w:numPr>
        <w:tabs>
          <w:tab w:val="left" w:pos="561"/>
        </w:tabs>
        <w:spacing w:after="0" w:line="240" w:lineRule="auto"/>
        <w:ind w:left="561" w:hanging="561"/>
        <w:rPr>
          <w:rFonts w:eastAsia="Times New Roman"/>
        </w:rPr>
      </w:pPr>
      <w:r w:rsidRPr="005C021A">
        <w:rPr>
          <w:rFonts w:eastAsia="Times New Roman"/>
        </w:rPr>
        <w:t>Kaip laikyti Nuvaxovid</w:t>
      </w:r>
    </w:p>
    <w:p w:rsidR="009A7D3D" w:rsidRPr="005C021A" w:rsidRDefault="009A7D3D" w:rsidP="009A7D3D">
      <w:pPr>
        <w:spacing w:line="1" w:lineRule="exact"/>
        <w:rPr>
          <w:rFonts w:eastAsia="Times New Roman"/>
        </w:rPr>
      </w:pPr>
    </w:p>
    <w:p w:rsidR="009A7D3D" w:rsidRPr="005C021A" w:rsidRDefault="009A7D3D" w:rsidP="009A7D3D">
      <w:pPr>
        <w:numPr>
          <w:ilvl w:val="0"/>
          <w:numId w:val="1"/>
        </w:numPr>
        <w:tabs>
          <w:tab w:val="left" w:pos="561"/>
        </w:tabs>
        <w:spacing w:after="0" w:line="240" w:lineRule="auto"/>
        <w:ind w:left="561" w:hanging="561"/>
        <w:rPr>
          <w:rFonts w:eastAsia="Times New Roman"/>
        </w:rPr>
      </w:pPr>
      <w:r w:rsidRPr="005C021A">
        <w:rPr>
          <w:rFonts w:eastAsia="Times New Roman"/>
        </w:rPr>
        <w:t>Pakuotės turinys ir kita informacija</w:t>
      </w:r>
    </w:p>
    <w:p w:rsidR="009A7D3D" w:rsidRPr="005C021A" w:rsidRDefault="009A7D3D" w:rsidP="009A7D3D">
      <w:pPr>
        <w:spacing w:line="200" w:lineRule="exact"/>
        <w:rPr>
          <w:sz w:val="20"/>
          <w:szCs w:val="20"/>
        </w:rPr>
      </w:pPr>
    </w:p>
    <w:p w:rsidR="009A7D3D" w:rsidRPr="005C021A" w:rsidRDefault="009A7D3D" w:rsidP="009A7D3D">
      <w:pPr>
        <w:spacing w:line="307" w:lineRule="exact"/>
        <w:rPr>
          <w:sz w:val="20"/>
          <w:szCs w:val="20"/>
        </w:rPr>
      </w:pPr>
    </w:p>
    <w:p w:rsidR="009A7D3D" w:rsidRPr="005C021A" w:rsidRDefault="009A7D3D" w:rsidP="009A7D3D">
      <w:pPr>
        <w:ind w:left="1"/>
        <w:rPr>
          <w:sz w:val="20"/>
          <w:szCs w:val="20"/>
        </w:rPr>
      </w:pPr>
      <w:r w:rsidRPr="005C021A">
        <w:rPr>
          <w:rFonts w:eastAsia="Times New Roman"/>
          <w:b/>
          <w:bCs/>
        </w:rPr>
        <w:t>1. Kas yra Nuvaxovid ir kam jis vartojamas</w:t>
      </w:r>
    </w:p>
    <w:p w:rsidR="009A7D3D" w:rsidRPr="005C021A" w:rsidRDefault="009A7D3D" w:rsidP="009A7D3D">
      <w:pPr>
        <w:spacing w:line="253" w:lineRule="exact"/>
        <w:rPr>
          <w:sz w:val="20"/>
          <w:szCs w:val="20"/>
        </w:rPr>
      </w:pPr>
    </w:p>
    <w:p w:rsidR="009A7D3D" w:rsidRPr="005C021A" w:rsidRDefault="009A7D3D" w:rsidP="009A7D3D">
      <w:pPr>
        <w:ind w:left="1"/>
        <w:rPr>
          <w:sz w:val="20"/>
          <w:szCs w:val="20"/>
        </w:rPr>
      </w:pPr>
      <w:r w:rsidRPr="005C021A">
        <w:rPr>
          <w:rFonts w:eastAsia="Times New Roman"/>
        </w:rPr>
        <w:t>Nuvaxovid yra vakcina, skirta apsaugoti nuo SARS-CoV-2 viruso sukeltos COVID-19 ligos.</w:t>
      </w:r>
    </w:p>
    <w:p w:rsidR="009A7D3D" w:rsidRPr="005C021A" w:rsidRDefault="009A7D3D" w:rsidP="009A7D3D">
      <w:pPr>
        <w:spacing w:line="251" w:lineRule="exact"/>
        <w:rPr>
          <w:sz w:val="20"/>
          <w:szCs w:val="20"/>
        </w:rPr>
      </w:pPr>
    </w:p>
    <w:p w:rsidR="009A7D3D" w:rsidRPr="005C021A" w:rsidRDefault="009A7D3D" w:rsidP="009A7D3D">
      <w:pPr>
        <w:ind w:left="1"/>
        <w:rPr>
          <w:sz w:val="20"/>
          <w:szCs w:val="20"/>
        </w:rPr>
      </w:pPr>
      <w:r w:rsidRPr="005C021A">
        <w:rPr>
          <w:rFonts w:eastAsia="Times New Roman"/>
        </w:rPr>
        <w:t>Nuvaxovid skiriama 18 metų ir vyresniems suaugusiesiems.</w:t>
      </w:r>
    </w:p>
    <w:p w:rsidR="009A7D3D" w:rsidRPr="005C021A" w:rsidRDefault="009A7D3D" w:rsidP="009A7D3D">
      <w:pPr>
        <w:spacing w:line="253" w:lineRule="exact"/>
        <w:rPr>
          <w:sz w:val="20"/>
          <w:szCs w:val="20"/>
        </w:rPr>
      </w:pPr>
    </w:p>
    <w:p w:rsidR="009A7D3D" w:rsidRPr="005C021A" w:rsidRDefault="009A7D3D" w:rsidP="009A7D3D">
      <w:pPr>
        <w:spacing w:line="260" w:lineRule="auto"/>
        <w:ind w:left="1" w:right="66"/>
        <w:jc w:val="both"/>
        <w:rPr>
          <w:sz w:val="20"/>
          <w:szCs w:val="20"/>
        </w:rPr>
      </w:pPr>
      <w:r w:rsidRPr="005C021A">
        <w:rPr>
          <w:rFonts w:eastAsia="Times New Roman"/>
        </w:rPr>
        <w:t>Vakcina priverčia imuninę sistemą (natūralią organizmo apsaugą) gaminti antikūnus ir specializuotas baltąsias kraujo ląsteles, kurios veikia prieš virusą, kad apsaugotų nuo COVID-19 ligos. Nė viena šios vakcinos sudedamoji dalis negali sukelti COVID-19 ligos.</w:t>
      </w:r>
    </w:p>
    <w:p w:rsidR="009A7D3D" w:rsidRPr="005C021A" w:rsidRDefault="009A7D3D" w:rsidP="009A7D3D">
      <w:pPr>
        <w:spacing w:line="200" w:lineRule="exact"/>
        <w:rPr>
          <w:sz w:val="20"/>
          <w:szCs w:val="20"/>
        </w:rPr>
      </w:pPr>
    </w:p>
    <w:p w:rsidR="009A7D3D" w:rsidRPr="005C021A" w:rsidRDefault="009A7D3D" w:rsidP="009A7D3D">
      <w:pPr>
        <w:spacing w:line="244" w:lineRule="exact"/>
        <w:rPr>
          <w:sz w:val="20"/>
          <w:szCs w:val="20"/>
        </w:rPr>
      </w:pPr>
    </w:p>
    <w:p w:rsidR="009A7D3D" w:rsidRPr="005C021A" w:rsidRDefault="009A7D3D" w:rsidP="009A7D3D">
      <w:pPr>
        <w:ind w:left="1"/>
        <w:rPr>
          <w:sz w:val="20"/>
          <w:szCs w:val="20"/>
        </w:rPr>
      </w:pPr>
      <w:r w:rsidRPr="005C021A">
        <w:rPr>
          <w:rFonts w:eastAsia="Times New Roman"/>
          <w:b/>
          <w:bCs/>
        </w:rPr>
        <w:t>2. Kas žinotina prieš vartojant Nuvaxovid</w:t>
      </w:r>
    </w:p>
    <w:p w:rsidR="009A7D3D" w:rsidRPr="005C021A" w:rsidRDefault="009A7D3D" w:rsidP="009A7D3D">
      <w:pPr>
        <w:spacing w:line="249" w:lineRule="exact"/>
        <w:rPr>
          <w:sz w:val="20"/>
          <w:szCs w:val="20"/>
        </w:rPr>
      </w:pPr>
    </w:p>
    <w:p w:rsidR="009A7D3D" w:rsidRPr="005C021A" w:rsidRDefault="009A7D3D" w:rsidP="009A7D3D">
      <w:pPr>
        <w:ind w:left="1"/>
        <w:rPr>
          <w:sz w:val="20"/>
          <w:szCs w:val="20"/>
        </w:rPr>
      </w:pPr>
      <w:r w:rsidRPr="005C021A">
        <w:rPr>
          <w:rFonts w:eastAsia="Times New Roman"/>
          <w:b/>
          <w:bCs/>
        </w:rPr>
        <w:lastRenderedPageBreak/>
        <w:t>Nuvaxovid vartoti negalima</w:t>
      </w:r>
    </w:p>
    <w:p w:rsidR="009A7D3D" w:rsidRPr="005C021A" w:rsidRDefault="009A7D3D" w:rsidP="009A7D3D">
      <w:pPr>
        <w:spacing w:line="5" w:lineRule="exact"/>
        <w:rPr>
          <w:sz w:val="20"/>
          <w:szCs w:val="20"/>
        </w:rPr>
      </w:pPr>
    </w:p>
    <w:p w:rsidR="009A7D3D" w:rsidRPr="005C021A" w:rsidRDefault="009A7D3D" w:rsidP="009A7D3D">
      <w:pPr>
        <w:spacing w:line="279" w:lineRule="auto"/>
        <w:ind w:left="421" w:right="766"/>
        <w:rPr>
          <w:sz w:val="20"/>
          <w:szCs w:val="20"/>
        </w:rPr>
      </w:pPr>
      <w:r w:rsidRPr="005C021A">
        <w:rPr>
          <w:rFonts w:eastAsia="Times New Roman"/>
        </w:rPr>
        <w:t>jeigu yra alergija veikliajai medžiagai arba bet kuriai pagalbinei šio vaisto medžiagai (jos išvardytos 6 skyriuje).</w:t>
      </w:r>
    </w:p>
    <w:p w:rsidR="009A7D3D" w:rsidRPr="005C021A" w:rsidRDefault="009A7D3D" w:rsidP="009A7D3D">
      <w:pPr>
        <w:spacing w:line="170" w:lineRule="exact"/>
        <w:rPr>
          <w:sz w:val="20"/>
          <w:szCs w:val="20"/>
        </w:rPr>
      </w:pPr>
    </w:p>
    <w:p w:rsidR="009A7D3D" w:rsidRPr="005C021A" w:rsidRDefault="009A7D3D" w:rsidP="009A7D3D">
      <w:pPr>
        <w:ind w:left="1"/>
        <w:rPr>
          <w:sz w:val="20"/>
          <w:szCs w:val="20"/>
        </w:rPr>
      </w:pPr>
      <w:r w:rsidRPr="005C021A">
        <w:rPr>
          <w:rFonts w:eastAsia="Times New Roman"/>
          <w:b/>
          <w:bCs/>
        </w:rPr>
        <w:t>Įspėjimai ir atsargumo priemonės</w:t>
      </w:r>
    </w:p>
    <w:p w:rsidR="009A7D3D" w:rsidRPr="005C021A" w:rsidRDefault="009A7D3D" w:rsidP="009A7D3D">
      <w:pPr>
        <w:ind w:left="1"/>
        <w:rPr>
          <w:sz w:val="20"/>
          <w:szCs w:val="20"/>
        </w:rPr>
      </w:pPr>
      <w:r w:rsidRPr="005C021A">
        <w:rPr>
          <w:rFonts w:eastAsia="Times New Roman"/>
        </w:rPr>
        <w:t>Pasitarkite su gydytoju, vaistininku arba slaugytoju, prieš skiepydamiesi Nuvaxovid, jeigu:</w:t>
      </w:r>
    </w:p>
    <w:p w:rsidR="009A7D3D" w:rsidRPr="005C021A" w:rsidRDefault="009A7D3D" w:rsidP="009A7D3D">
      <w:pPr>
        <w:spacing w:line="1" w:lineRule="exact"/>
        <w:rPr>
          <w:sz w:val="20"/>
          <w:szCs w:val="20"/>
        </w:rPr>
      </w:pPr>
    </w:p>
    <w:p w:rsidR="009A7D3D" w:rsidRPr="005C021A" w:rsidRDefault="009A7D3D" w:rsidP="009A7D3D">
      <w:pPr>
        <w:spacing w:line="239" w:lineRule="auto"/>
        <w:ind w:left="461" w:right="726"/>
        <w:rPr>
          <w:sz w:val="20"/>
          <w:szCs w:val="20"/>
        </w:rPr>
      </w:pPr>
      <w:r w:rsidRPr="005C021A">
        <w:rPr>
          <w:rFonts w:eastAsia="Times New Roman"/>
        </w:rPr>
        <w:t>kada nors esate turėję stiprią arba gyvybei pavojingą alerginę reakciją po bet kokios kitos vakcinos suleidimo arba po to, kai anksčiau buvote skiepyti Nuvaxovid;</w:t>
      </w:r>
    </w:p>
    <w:p w:rsidR="009A7D3D" w:rsidRPr="005C021A" w:rsidRDefault="009A7D3D" w:rsidP="009A7D3D">
      <w:pPr>
        <w:ind w:left="181"/>
        <w:rPr>
          <w:sz w:val="20"/>
          <w:szCs w:val="20"/>
        </w:rPr>
      </w:pPr>
      <w:r w:rsidRPr="005C021A">
        <w:rPr>
          <w:rFonts w:eastAsia="Times New Roman"/>
        </w:rPr>
        <w:t>kada nors po bet kokios adatos injekcijos esate nualpę;</w:t>
      </w:r>
    </w:p>
    <w:p w:rsidR="009A7D3D" w:rsidRPr="005C021A" w:rsidRDefault="009A7D3D" w:rsidP="009A7D3D">
      <w:pPr>
        <w:spacing w:line="1" w:lineRule="exact"/>
        <w:rPr>
          <w:sz w:val="20"/>
          <w:szCs w:val="20"/>
        </w:rPr>
      </w:pPr>
    </w:p>
    <w:p w:rsidR="009A7D3D" w:rsidRPr="005C021A" w:rsidRDefault="009A7D3D" w:rsidP="009A7D3D">
      <w:pPr>
        <w:spacing w:line="239" w:lineRule="auto"/>
        <w:ind w:left="461" w:right="106"/>
        <w:rPr>
          <w:sz w:val="20"/>
          <w:szCs w:val="20"/>
        </w:rPr>
      </w:pPr>
      <w:r w:rsidRPr="005C021A">
        <w:rPr>
          <w:rFonts w:eastAsia="Times New Roman"/>
        </w:rPr>
        <w:t>smarkiai karščiuojate (virš 38 °C) arba sergate sunkia infekcine liga; Tačiau Jus galima skiepyti, jeigu Jums pasireiškia lengvas karščiavimas (mažai padidėjusi temperatūra) arba viršutinių kvėpavimo takų infekcija, pvz., peršalimas;</w:t>
      </w:r>
    </w:p>
    <w:p w:rsidR="009A7D3D" w:rsidRPr="005C021A" w:rsidRDefault="009A7D3D" w:rsidP="009A7D3D">
      <w:pPr>
        <w:spacing w:line="2" w:lineRule="exact"/>
        <w:rPr>
          <w:sz w:val="20"/>
          <w:szCs w:val="20"/>
        </w:rPr>
      </w:pPr>
    </w:p>
    <w:p w:rsidR="009A7D3D" w:rsidRPr="005C021A" w:rsidRDefault="009A7D3D" w:rsidP="009A7D3D">
      <w:pPr>
        <w:ind w:left="461" w:right="346"/>
        <w:rPr>
          <w:sz w:val="20"/>
          <w:szCs w:val="20"/>
        </w:rPr>
      </w:pPr>
      <w:r w:rsidRPr="005C021A">
        <w:rPr>
          <w:rFonts w:eastAsia="Times New Roman"/>
        </w:rPr>
        <w:t>turite kraujavimo problemų, lengvai atsiranda kraujosruvos arba vartojate vaistų, apsaugančių nuo kraujo krešulių susidarymo;</w:t>
      </w:r>
    </w:p>
    <w:p w:rsidR="009A7D3D" w:rsidRPr="005C021A" w:rsidRDefault="009A7D3D" w:rsidP="009A7D3D">
      <w:pPr>
        <w:spacing w:line="260" w:lineRule="auto"/>
        <w:ind w:left="461" w:right="6"/>
        <w:rPr>
          <w:sz w:val="20"/>
          <w:szCs w:val="20"/>
        </w:rPr>
      </w:pPr>
      <w:r w:rsidRPr="005C021A">
        <w:rPr>
          <w:rFonts w:eastAsia="Times New Roman"/>
        </w:rPr>
        <w:t>Jūsų imuninė sistema veikia netinkamai (imuniteto nepakankamumas) arba vartojate vaistų, kurie silpnina imuninę sistemą (pvz., didelėmis dozėmis vartojamų kortikosteroidų, imunitetą slopinančių vaistų arba vaistų nuo vėžio).</w:t>
      </w:r>
    </w:p>
    <w:p w:rsidR="009A7D3D" w:rsidRPr="005C021A" w:rsidRDefault="009A7D3D" w:rsidP="009A7D3D">
      <w:pPr>
        <w:spacing w:line="200" w:lineRule="exact"/>
        <w:rPr>
          <w:sz w:val="20"/>
          <w:szCs w:val="20"/>
        </w:rPr>
      </w:pPr>
    </w:p>
    <w:p w:rsidR="009A7D3D" w:rsidRPr="005C021A" w:rsidRDefault="009A7D3D" w:rsidP="009A7D3D">
      <w:pPr>
        <w:spacing w:line="299" w:lineRule="exact"/>
        <w:rPr>
          <w:sz w:val="20"/>
          <w:szCs w:val="20"/>
        </w:rPr>
      </w:pPr>
    </w:p>
    <w:p w:rsidR="009A7D3D" w:rsidRPr="005C021A" w:rsidRDefault="009A7D3D" w:rsidP="009A7D3D">
      <w:pPr>
        <w:ind w:right="65"/>
        <w:jc w:val="center"/>
        <w:rPr>
          <w:sz w:val="20"/>
          <w:szCs w:val="20"/>
        </w:rPr>
      </w:pPr>
      <w:r w:rsidRPr="005C021A">
        <w:rPr>
          <w:rFonts w:eastAsia="Arial"/>
          <w:sz w:val="16"/>
          <w:szCs w:val="16"/>
        </w:rPr>
        <w:t>24</w:t>
      </w:r>
    </w:p>
    <w:p w:rsidR="009A7D3D" w:rsidRPr="005C021A" w:rsidRDefault="009A7D3D" w:rsidP="009A7D3D">
      <w:pPr>
        <w:sectPr w:rsidR="009A7D3D" w:rsidRPr="005C021A">
          <w:pgSz w:w="11900" w:h="16841"/>
          <w:pgMar w:top="1103" w:right="1440" w:bottom="191" w:left="1419" w:header="0" w:footer="0" w:gutter="0"/>
          <w:cols w:space="720" w:equalWidth="0">
            <w:col w:w="9048"/>
          </w:cols>
        </w:sectPr>
      </w:pPr>
    </w:p>
    <w:p w:rsidR="009A7D3D" w:rsidRPr="005C021A" w:rsidRDefault="009A7D3D" w:rsidP="009A7D3D">
      <w:pPr>
        <w:spacing w:line="281" w:lineRule="auto"/>
        <w:ind w:right="486"/>
        <w:rPr>
          <w:sz w:val="20"/>
          <w:szCs w:val="20"/>
        </w:rPr>
      </w:pPr>
      <w:bookmarkStart w:id="0" w:name="page25"/>
      <w:bookmarkEnd w:id="0"/>
      <w:r w:rsidRPr="005C021A">
        <w:rPr>
          <w:rFonts w:eastAsia="Times New Roman"/>
        </w:rPr>
        <w:lastRenderedPageBreak/>
        <w:t>Jeigu Jums yra kuri nors iš pirmiau nurodytų būklių (arba dėl to nesate tikri), prieš skiepydamiesi Nuvaxovid pasitarkite su gydytoju, vaistininku arba slaugytoju.</w:t>
      </w:r>
    </w:p>
    <w:p w:rsidR="009A7D3D" w:rsidRPr="005C021A" w:rsidRDefault="009A7D3D" w:rsidP="009A7D3D">
      <w:pPr>
        <w:spacing w:line="169" w:lineRule="exact"/>
        <w:rPr>
          <w:sz w:val="20"/>
          <w:szCs w:val="20"/>
        </w:rPr>
      </w:pPr>
    </w:p>
    <w:p w:rsidR="009A7D3D" w:rsidRPr="005C021A" w:rsidRDefault="009A7D3D" w:rsidP="009A7D3D">
      <w:pPr>
        <w:spacing w:line="279" w:lineRule="auto"/>
        <w:ind w:right="806"/>
        <w:rPr>
          <w:sz w:val="20"/>
          <w:szCs w:val="20"/>
        </w:rPr>
      </w:pPr>
      <w:r w:rsidRPr="005C021A">
        <w:rPr>
          <w:rFonts w:eastAsia="Times New Roman"/>
        </w:rPr>
        <w:t>Kaip ir bet kurios kitos vakcinos atveju, 2 dozių Nuvaxovid skiepijimo kursas gali ne visiškai apsaugoti visus paskiepytus asmenis ir nėra žinoma, kiek laiko būsite apsaugoti.</w:t>
      </w:r>
    </w:p>
    <w:p w:rsidR="009A7D3D" w:rsidRPr="005C021A" w:rsidRDefault="009A7D3D" w:rsidP="009A7D3D">
      <w:pPr>
        <w:spacing w:line="171" w:lineRule="exact"/>
        <w:rPr>
          <w:sz w:val="20"/>
          <w:szCs w:val="20"/>
        </w:rPr>
      </w:pPr>
    </w:p>
    <w:p w:rsidR="009A7D3D" w:rsidRPr="005C021A" w:rsidRDefault="009A7D3D" w:rsidP="009A7D3D">
      <w:pPr>
        <w:rPr>
          <w:sz w:val="20"/>
          <w:szCs w:val="20"/>
        </w:rPr>
      </w:pPr>
      <w:r w:rsidRPr="005C021A">
        <w:rPr>
          <w:rFonts w:eastAsia="Times New Roman"/>
          <w:b/>
          <w:bCs/>
        </w:rPr>
        <w:t>Vaikams ir paaugliams</w:t>
      </w:r>
    </w:p>
    <w:p w:rsidR="009A7D3D" w:rsidRPr="005C021A" w:rsidRDefault="009A7D3D" w:rsidP="009A7D3D">
      <w:pPr>
        <w:spacing w:line="252" w:lineRule="exact"/>
        <w:rPr>
          <w:sz w:val="20"/>
          <w:szCs w:val="20"/>
        </w:rPr>
      </w:pPr>
    </w:p>
    <w:p w:rsidR="009A7D3D" w:rsidRPr="005C021A" w:rsidRDefault="009A7D3D" w:rsidP="009A7D3D">
      <w:pPr>
        <w:spacing w:line="279" w:lineRule="auto"/>
        <w:ind w:right="266"/>
        <w:rPr>
          <w:sz w:val="20"/>
          <w:szCs w:val="20"/>
        </w:rPr>
      </w:pPr>
      <w:r w:rsidRPr="005C021A">
        <w:rPr>
          <w:rFonts w:eastAsia="Times New Roman"/>
        </w:rPr>
        <w:t>Nuvaxovid nerekomenduojama skiepyti jaunesnių kaip 18 metų vaikų. Šiuo metu nėra informacijos apie Nuvaxovid vartojimą jaunesniems kaip 18 metų vaikams.</w:t>
      </w:r>
    </w:p>
    <w:p w:rsidR="009A7D3D" w:rsidRPr="005C021A" w:rsidRDefault="009A7D3D" w:rsidP="009A7D3D">
      <w:pPr>
        <w:spacing w:line="171" w:lineRule="exact"/>
        <w:rPr>
          <w:sz w:val="20"/>
          <w:szCs w:val="20"/>
        </w:rPr>
      </w:pPr>
    </w:p>
    <w:p w:rsidR="009A7D3D" w:rsidRPr="005C021A" w:rsidRDefault="009A7D3D" w:rsidP="009A7D3D">
      <w:pPr>
        <w:rPr>
          <w:sz w:val="20"/>
          <w:szCs w:val="20"/>
        </w:rPr>
      </w:pPr>
      <w:r w:rsidRPr="005C021A">
        <w:rPr>
          <w:rFonts w:eastAsia="Times New Roman"/>
          <w:b/>
          <w:bCs/>
        </w:rPr>
        <w:t>Kiti vaistai ir Nuvaxovid</w:t>
      </w:r>
    </w:p>
    <w:p w:rsidR="009A7D3D" w:rsidRPr="005C021A" w:rsidRDefault="009A7D3D" w:rsidP="009A7D3D">
      <w:pPr>
        <w:spacing w:line="252" w:lineRule="exact"/>
        <w:rPr>
          <w:sz w:val="20"/>
          <w:szCs w:val="20"/>
        </w:rPr>
      </w:pPr>
    </w:p>
    <w:p w:rsidR="009A7D3D" w:rsidRPr="005C021A" w:rsidRDefault="009A7D3D" w:rsidP="009A7D3D">
      <w:pPr>
        <w:spacing w:line="279" w:lineRule="auto"/>
        <w:ind w:right="206"/>
        <w:rPr>
          <w:sz w:val="20"/>
          <w:szCs w:val="20"/>
        </w:rPr>
      </w:pPr>
      <w:r w:rsidRPr="005C021A">
        <w:rPr>
          <w:rFonts w:eastAsia="Times New Roman"/>
        </w:rPr>
        <w:t>Jeigu vartojate ar neseniai vartojote kitų vaistų ar vakcinų arba dėl to nesate tikri, apie tai pasakykite gydytojui arba vaistininkui.</w:t>
      </w:r>
    </w:p>
    <w:p w:rsidR="009A7D3D" w:rsidRPr="005C021A" w:rsidRDefault="009A7D3D" w:rsidP="009A7D3D">
      <w:pPr>
        <w:spacing w:line="172" w:lineRule="exact"/>
        <w:rPr>
          <w:sz w:val="20"/>
          <w:szCs w:val="20"/>
        </w:rPr>
      </w:pPr>
    </w:p>
    <w:p w:rsidR="009A7D3D" w:rsidRPr="005C021A" w:rsidRDefault="009A7D3D" w:rsidP="009A7D3D">
      <w:pPr>
        <w:rPr>
          <w:sz w:val="20"/>
          <w:szCs w:val="20"/>
        </w:rPr>
      </w:pPr>
      <w:r w:rsidRPr="005C021A">
        <w:rPr>
          <w:rFonts w:eastAsia="Times New Roman"/>
          <w:b/>
          <w:bCs/>
        </w:rPr>
        <w:t>Nėštumas ir žindymas</w:t>
      </w:r>
    </w:p>
    <w:p w:rsidR="009A7D3D" w:rsidRPr="005C021A" w:rsidRDefault="009A7D3D" w:rsidP="009A7D3D">
      <w:pPr>
        <w:spacing w:line="252" w:lineRule="exact"/>
        <w:rPr>
          <w:sz w:val="20"/>
          <w:szCs w:val="20"/>
        </w:rPr>
      </w:pPr>
    </w:p>
    <w:p w:rsidR="009A7D3D" w:rsidRPr="005C021A" w:rsidRDefault="009A7D3D" w:rsidP="009A7D3D">
      <w:pPr>
        <w:spacing w:line="279" w:lineRule="auto"/>
        <w:ind w:right="366"/>
        <w:rPr>
          <w:sz w:val="20"/>
          <w:szCs w:val="20"/>
        </w:rPr>
      </w:pPr>
      <w:r w:rsidRPr="005C021A">
        <w:rPr>
          <w:rFonts w:eastAsia="Times New Roman"/>
        </w:rPr>
        <w:t>Jeigu esate nėščia, žindote kūdikį, manote, kad galbūt esate nėščia arba planuojate pastoti, tai prieš suleidžiant šią vakciną pasitarkite su gydytoju, vaistininku arba slaugytoju.</w:t>
      </w:r>
    </w:p>
    <w:p w:rsidR="009A7D3D" w:rsidRPr="005C021A" w:rsidRDefault="009A7D3D" w:rsidP="009A7D3D">
      <w:pPr>
        <w:spacing w:line="171" w:lineRule="exact"/>
        <w:rPr>
          <w:sz w:val="20"/>
          <w:szCs w:val="20"/>
        </w:rPr>
      </w:pPr>
    </w:p>
    <w:p w:rsidR="009A7D3D" w:rsidRPr="005C021A" w:rsidRDefault="009A7D3D" w:rsidP="009A7D3D">
      <w:pPr>
        <w:rPr>
          <w:sz w:val="20"/>
          <w:szCs w:val="20"/>
        </w:rPr>
      </w:pPr>
      <w:r w:rsidRPr="005C021A">
        <w:rPr>
          <w:rFonts w:eastAsia="Times New Roman"/>
          <w:b/>
          <w:bCs/>
        </w:rPr>
        <w:t>Vairavimas ir mechanizmų valdymas</w:t>
      </w:r>
    </w:p>
    <w:p w:rsidR="009A7D3D" w:rsidRPr="005C021A" w:rsidRDefault="009A7D3D" w:rsidP="009A7D3D">
      <w:pPr>
        <w:spacing w:line="252" w:lineRule="exact"/>
        <w:rPr>
          <w:sz w:val="20"/>
          <w:szCs w:val="20"/>
        </w:rPr>
      </w:pPr>
    </w:p>
    <w:p w:rsidR="009A7D3D" w:rsidRPr="005C021A" w:rsidRDefault="009A7D3D" w:rsidP="009A7D3D">
      <w:pPr>
        <w:spacing w:line="260" w:lineRule="auto"/>
        <w:ind w:right="46"/>
        <w:rPr>
          <w:sz w:val="20"/>
          <w:szCs w:val="20"/>
        </w:rPr>
      </w:pPr>
      <w:r w:rsidRPr="005C021A">
        <w:rPr>
          <w:rFonts w:eastAsia="Times New Roman"/>
        </w:rPr>
        <w:t>Tam tikras 4 skyriuje nurodytas Nuvaxovid šalutinis poveikis (galimas šalutinis poveikis) gali laikinai sumažinti Jūsų gebėjimą vairuoti ir valdyti mechanizmus (pvz., alpimas arba galvos svaigimas arba didelis nuovargis).</w:t>
      </w:r>
    </w:p>
    <w:p w:rsidR="009A7D3D" w:rsidRPr="005C021A" w:rsidRDefault="009A7D3D" w:rsidP="009A7D3D">
      <w:pPr>
        <w:spacing w:line="191" w:lineRule="exact"/>
        <w:rPr>
          <w:sz w:val="20"/>
          <w:szCs w:val="20"/>
        </w:rPr>
      </w:pPr>
    </w:p>
    <w:p w:rsidR="009A7D3D" w:rsidRPr="005C021A" w:rsidRDefault="009A7D3D" w:rsidP="009A7D3D">
      <w:pPr>
        <w:spacing w:line="279" w:lineRule="auto"/>
        <w:ind w:right="326"/>
        <w:rPr>
          <w:sz w:val="20"/>
          <w:szCs w:val="20"/>
        </w:rPr>
      </w:pPr>
      <w:r w:rsidRPr="005C021A">
        <w:rPr>
          <w:rFonts w:eastAsia="Times New Roman"/>
        </w:rPr>
        <w:t>Jeigu po paskiepijimo prastai jaučiatės, nevairuokite ir nevaldykite mechanizmų. Prieš vairuodami arba valdydami mechanizmus palaukite, kol pasibaigs bet koks vakcinos poveikis.</w:t>
      </w:r>
    </w:p>
    <w:p w:rsidR="009A7D3D" w:rsidRPr="005C021A" w:rsidRDefault="009A7D3D" w:rsidP="009A7D3D">
      <w:pPr>
        <w:spacing w:line="172" w:lineRule="exact"/>
        <w:rPr>
          <w:sz w:val="20"/>
          <w:szCs w:val="20"/>
        </w:rPr>
      </w:pPr>
    </w:p>
    <w:p w:rsidR="009A7D3D" w:rsidRPr="005C021A" w:rsidRDefault="009A7D3D" w:rsidP="009A7D3D">
      <w:pPr>
        <w:rPr>
          <w:sz w:val="20"/>
          <w:szCs w:val="20"/>
        </w:rPr>
      </w:pPr>
      <w:r w:rsidRPr="005C021A">
        <w:rPr>
          <w:rFonts w:eastAsia="Times New Roman"/>
          <w:b/>
          <w:bCs/>
        </w:rPr>
        <w:t>Nuvaxovid sudėtyje yra natrio ir kalio</w:t>
      </w:r>
    </w:p>
    <w:p w:rsidR="009A7D3D" w:rsidRPr="005C021A" w:rsidRDefault="009A7D3D" w:rsidP="009A7D3D">
      <w:pPr>
        <w:spacing w:line="252" w:lineRule="exact"/>
        <w:rPr>
          <w:sz w:val="20"/>
          <w:szCs w:val="20"/>
        </w:rPr>
      </w:pPr>
    </w:p>
    <w:p w:rsidR="009A7D3D" w:rsidRPr="005C021A" w:rsidRDefault="009A7D3D" w:rsidP="009A7D3D">
      <w:pPr>
        <w:rPr>
          <w:sz w:val="20"/>
          <w:szCs w:val="20"/>
        </w:rPr>
      </w:pPr>
      <w:r w:rsidRPr="005C021A">
        <w:rPr>
          <w:rFonts w:eastAsia="Times New Roman"/>
        </w:rPr>
        <w:t>Šios vakcinos vienoje dozėje yra mažiau kaip 1 mmol (23 mg) natrio, t. y. jis beveik neturi reikšmės.</w:t>
      </w:r>
    </w:p>
    <w:p w:rsidR="009A7D3D" w:rsidRPr="005C021A" w:rsidRDefault="009A7D3D" w:rsidP="009A7D3D">
      <w:pPr>
        <w:spacing w:line="251" w:lineRule="exact"/>
        <w:rPr>
          <w:sz w:val="20"/>
          <w:szCs w:val="20"/>
        </w:rPr>
      </w:pPr>
    </w:p>
    <w:p w:rsidR="009A7D3D" w:rsidRPr="005C021A" w:rsidRDefault="009A7D3D" w:rsidP="009A7D3D">
      <w:pPr>
        <w:spacing w:line="281" w:lineRule="auto"/>
        <w:ind w:right="446"/>
        <w:rPr>
          <w:sz w:val="20"/>
          <w:szCs w:val="20"/>
        </w:rPr>
      </w:pPr>
      <w:r w:rsidRPr="005C021A">
        <w:rPr>
          <w:rFonts w:eastAsia="Times New Roman"/>
        </w:rPr>
        <w:t>Šios vakcinos vienoje dozėje yra mažiau kaip 1 mmol kalio (39 miligramai), t. y. jis beveik neturi reikšmės.</w:t>
      </w:r>
    </w:p>
    <w:p w:rsidR="009A7D3D" w:rsidRPr="005C021A" w:rsidRDefault="009A7D3D" w:rsidP="009A7D3D">
      <w:pPr>
        <w:spacing w:line="200" w:lineRule="exact"/>
        <w:rPr>
          <w:sz w:val="20"/>
          <w:szCs w:val="20"/>
        </w:rPr>
      </w:pPr>
    </w:p>
    <w:p w:rsidR="009A7D3D" w:rsidRPr="005C021A" w:rsidRDefault="009A7D3D" w:rsidP="009A7D3D">
      <w:pPr>
        <w:spacing w:line="222" w:lineRule="exact"/>
        <w:rPr>
          <w:sz w:val="20"/>
          <w:szCs w:val="20"/>
        </w:rPr>
      </w:pPr>
    </w:p>
    <w:p w:rsidR="009A7D3D" w:rsidRPr="005C021A" w:rsidRDefault="009A7D3D" w:rsidP="009A7D3D">
      <w:pPr>
        <w:rPr>
          <w:sz w:val="20"/>
          <w:szCs w:val="20"/>
        </w:rPr>
      </w:pPr>
      <w:r w:rsidRPr="005C021A">
        <w:rPr>
          <w:rFonts w:eastAsia="Times New Roman"/>
          <w:b/>
          <w:bCs/>
        </w:rPr>
        <w:t>3. Kaip vartoti Nuvaxovid</w:t>
      </w:r>
    </w:p>
    <w:p w:rsidR="009A7D3D" w:rsidRPr="005C021A" w:rsidRDefault="009A7D3D" w:rsidP="009A7D3D">
      <w:pPr>
        <w:spacing w:line="252" w:lineRule="exact"/>
        <w:rPr>
          <w:sz w:val="20"/>
          <w:szCs w:val="20"/>
        </w:rPr>
      </w:pPr>
    </w:p>
    <w:p w:rsidR="009A7D3D" w:rsidRPr="005C021A" w:rsidRDefault="009A7D3D" w:rsidP="009A7D3D">
      <w:pPr>
        <w:rPr>
          <w:sz w:val="20"/>
          <w:szCs w:val="20"/>
        </w:rPr>
      </w:pPr>
      <w:r w:rsidRPr="005C021A">
        <w:rPr>
          <w:rFonts w:eastAsia="Times New Roman"/>
        </w:rPr>
        <w:lastRenderedPageBreak/>
        <w:t>Nuvaxovid Jums bus suleista du kartus po 0,5 ml.</w:t>
      </w:r>
    </w:p>
    <w:p w:rsidR="009A7D3D" w:rsidRPr="005C021A" w:rsidRDefault="009A7D3D" w:rsidP="009A7D3D">
      <w:pPr>
        <w:spacing w:line="254" w:lineRule="exact"/>
        <w:rPr>
          <w:sz w:val="20"/>
          <w:szCs w:val="20"/>
        </w:rPr>
      </w:pPr>
    </w:p>
    <w:p w:rsidR="009A7D3D" w:rsidRPr="005C021A" w:rsidRDefault="009A7D3D" w:rsidP="009A7D3D">
      <w:pPr>
        <w:rPr>
          <w:sz w:val="20"/>
          <w:szCs w:val="20"/>
        </w:rPr>
      </w:pPr>
      <w:r w:rsidRPr="005C021A">
        <w:rPr>
          <w:rFonts w:eastAsia="Times New Roman"/>
        </w:rPr>
        <w:t>Jūsų gydytojas, vaistininkas arba slaugytojas suleis vakciną į raumenis, paprastai į žastą.</w:t>
      </w:r>
    </w:p>
    <w:p w:rsidR="009A7D3D" w:rsidRPr="005C021A" w:rsidRDefault="009A7D3D" w:rsidP="009A7D3D">
      <w:pPr>
        <w:spacing w:line="251" w:lineRule="exact"/>
        <w:rPr>
          <w:sz w:val="20"/>
          <w:szCs w:val="20"/>
        </w:rPr>
      </w:pPr>
    </w:p>
    <w:p w:rsidR="009A7D3D" w:rsidRPr="005C021A" w:rsidRDefault="009A7D3D" w:rsidP="009A7D3D">
      <w:pPr>
        <w:spacing w:line="281" w:lineRule="auto"/>
        <w:ind w:right="246"/>
        <w:rPr>
          <w:sz w:val="20"/>
          <w:szCs w:val="20"/>
        </w:rPr>
      </w:pPr>
      <w:r w:rsidRPr="005C021A">
        <w:rPr>
          <w:rFonts w:eastAsia="Times New Roman"/>
        </w:rPr>
        <w:t>Rekomenduojama, kad antroji Nuvaxovid dozė Jums būtų suleista praėjus 3 savaitėms po pirmosios dozės suleidimo, kad gautumėte visą šios vakcinos kursą.</w:t>
      </w:r>
    </w:p>
    <w:p w:rsidR="009A7D3D" w:rsidRPr="005C021A" w:rsidRDefault="009A7D3D" w:rsidP="009A7D3D">
      <w:pPr>
        <w:spacing w:line="168" w:lineRule="exact"/>
        <w:rPr>
          <w:sz w:val="20"/>
          <w:szCs w:val="20"/>
        </w:rPr>
      </w:pPr>
    </w:p>
    <w:p w:rsidR="009A7D3D" w:rsidRPr="005C021A" w:rsidRDefault="009A7D3D" w:rsidP="009A7D3D">
      <w:pPr>
        <w:spacing w:line="279" w:lineRule="auto"/>
        <w:ind w:right="826"/>
        <w:rPr>
          <w:sz w:val="20"/>
          <w:szCs w:val="20"/>
        </w:rPr>
      </w:pPr>
      <w:r w:rsidRPr="005C021A">
        <w:rPr>
          <w:rFonts w:eastAsia="Times New Roman"/>
        </w:rPr>
        <w:t>Kiekvienos vakcinos suleidimo metu ir po jos gydytojas, vaistininkas ar slaugytojas maždaug 15 minučių stebės, ar Jums neatsirado alerginės reakcijos požymių.</w:t>
      </w:r>
    </w:p>
    <w:p w:rsidR="009A7D3D" w:rsidRPr="005C021A" w:rsidRDefault="009A7D3D" w:rsidP="009A7D3D">
      <w:pPr>
        <w:spacing w:line="169" w:lineRule="exact"/>
        <w:rPr>
          <w:sz w:val="20"/>
          <w:szCs w:val="20"/>
        </w:rPr>
      </w:pPr>
    </w:p>
    <w:p w:rsidR="009A7D3D" w:rsidRPr="005C021A" w:rsidRDefault="009A7D3D" w:rsidP="009A7D3D">
      <w:pPr>
        <w:rPr>
          <w:sz w:val="20"/>
          <w:szCs w:val="20"/>
        </w:rPr>
      </w:pPr>
      <w:r w:rsidRPr="005C021A">
        <w:rPr>
          <w:rFonts w:eastAsia="Times New Roman"/>
        </w:rPr>
        <w:t>Jeigu praleidote antrojo Nuvaxovid suleidimo vizitą, kreipkitės patarimo į gydytoją arba slaugytoją.</w:t>
      </w:r>
    </w:p>
    <w:p w:rsidR="009A7D3D" w:rsidRPr="005C021A" w:rsidRDefault="009A7D3D" w:rsidP="009A7D3D">
      <w:pPr>
        <w:rPr>
          <w:sz w:val="20"/>
          <w:szCs w:val="20"/>
        </w:rPr>
      </w:pPr>
      <w:r w:rsidRPr="005C021A">
        <w:rPr>
          <w:rFonts w:eastAsia="Times New Roman"/>
        </w:rPr>
        <w:t>Jeigu praleidote paskirtą vakcinos suleidimą, galite nebūti visiškai apsaugoti nuo COVID-19 ligos.</w:t>
      </w: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42" w:lineRule="exact"/>
        <w:rPr>
          <w:sz w:val="20"/>
          <w:szCs w:val="20"/>
        </w:rPr>
      </w:pPr>
    </w:p>
    <w:p w:rsidR="009A7D3D" w:rsidRPr="005C021A" w:rsidRDefault="009A7D3D" w:rsidP="009A7D3D">
      <w:pPr>
        <w:ind w:right="66"/>
        <w:jc w:val="center"/>
        <w:rPr>
          <w:sz w:val="20"/>
          <w:szCs w:val="20"/>
        </w:rPr>
      </w:pPr>
      <w:r w:rsidRPr="005C021A">
        <w:rPr>
          <w:rFonts w:eastAsia="Arial"/>
          <w:sz w:val="16"/>
          <w:szCs w:val="16"/>
        </w:rPr>
        <w:t>25</w:t>
      </w:r>
    </w:p>
    <w:p w:rsidR="009A7D3D" w:rsidRPr="005C021A" w:rsidRDefault="009A7D3D" w:rsidP="009A7D3D">
      <w:pPr>
        <w:sectPr w:rsidR="009A7D3D" w:rsidRPr="005C021A">
          <w:pgSz w:w="11900" w:h="16841"/>
          <w:pgMar w:top="1102" w:right="1440" w:bottom="191" w:left="1420" w:header="0" w:footer="0" w:gutter="0"/>
          <w:cols w:space="720" w:equalWidth="0">
            <w:col w:w="9046"/>
          </w:cols>
        </w:sectPr>
      </w:pPr>
    </w:p>
    <w:p w:rsidR="009A7D3D" w:rsidRPr="005C021A" w:rsidRDefault="009A7D3D" w:rsidP="009A7D3D">
      <w:pPr>
        <w:rPr>
          <w:sz w:val="20"/>
          <w:szCs w:val="20"/>
        </w:rPr>
      </w:pPr>
      <w:bookmarkStart w:id="1" w:name="page26"/>
      <w:bookmarkEnd w:id="1"/>
      <w:r w:rsidRPr="005C021A">
        <w:rPr>
          <w:rFonts w:eastAsia="Times New Roman"/>
          <w:b/>
          <w:bCs/>
        </w:rPr>
        <w:t>4. Galimas šalutinis poveikis</w:t>
      </w:r>
    </w:p>
    <w:p w:rsidR="009A7D3D" w:rsidRPr="005C021A" w:rsidRDefault="009A7D3D" w:rsidP="009A7D3D">
      <w:pPr>
        <w:spacing w:line="253" w:lineRule="exact"/>
        <w:rPr>
          <w:sz w:val="20"/>
          <w:szCs w:val="20"/>
        </w:rPr>
      </w:pPr>
    </w:p>
    <w:p w:rsidR="009A7D3D" w:rsidRPr="005C021A" w:rsidRDefault="009A7D3D" w:rsidP="009A7D3D">
      <w:pPr>
        <w:spacing w:line="260" w:lineRule="auto"/>
        <w:ind w:right="606"/>
        <w:rPr>
          <w:sz w:val="20"/>
          <w:szCs w:val="20"/>
        </w:rPr>
      </w:pPr>
      <w:r w:rsidRPr="005C021A">
        <w:rPr>
          <w:rFonts w:eastAsia="Times New Roman"/>
        </w:rPr>
        <w:t>Ši vakcina, kaip ir visi kiti vaistai, gali sukelti šalutinį poveikį, nors jis pasireiškia ne visiems žmonėms. Dauguma šalutinio poveikio reiškinių praeina per kelias dienas nuo atsiradimo. Jeigu simptomai išlieka, kreipkitės į gydytoją, vaistininką arba slaugytoją.</w:t>
      </w:r>
    </w:p>
    <w:p w:rsidR="009A7D3D" w:rsidRPr="005C021A" w:rsidRDefault="009A7D3D" w:rsidP="009A7D3D">
      <w:pPr>
        <w:spacing w:line="191" w:lineRule="exact"/>
        <w:rPr>
          <w:sz w:val="20"/>
          <w:szCs w:val="20"/>
        </w:rPr>
      </w:pPr>
    </w:p>
    <w:p w:rsidR="009A7D3D" w:rsidRPr="005C021A" w:rsidRDefault="009A7D3D" w:rsidP="009A7D3D">
      <w:pPr>
        <w:spacing w:line="260" w:lineRule="auto"/>
        <w:ind w:right="306"/>
        <w:rPr>
          <w:sz w:val="20"/>
          <w:szCs w:val="20"/>
        </w:rPr>
      </w:pPr>
      <w:r w:rsidRPr="005C021A">
        <w:rPr>
          <w:rFonts w:eastAsia="Times New Roman"/>
        </w:rPr>
        <w:t>Kaip ir vartojant kitas vakcinas, injekcijos vietoje galite jausti skausmą ar diskomfortą, arba šioje vietoje galite pastebėti tam tikrą paraudimą ir patinimą. Tačiau šios reakcijos paprastai išnyksta per kelias dienas.</w:t>
      </w:r>
    </w:p>
    <w:p w:rsidR="009A7D3D" w:rsidRPr="005C021A" w:rsidRDefault="009A7D3D" w:rsidP="009A7D3D">
      <w:pPr>
        <w:spacing w:line="187" w:lineRule="exact"/>
        <w:rPr>
          <w:sz w:val="20"/>
          <w:szCs w:val="20"/>
        </w:rPr>
      </w:pPr>
    </w:p>
    <w:p w:rsidR="009A7D3D" w:rsidRPr="005C021A" w:rsidRDefault="009A7D3D" w:rsidP="009A7D3D">
      <w:pPr>
        <w:spacing w:line="247" w:lineRule="auto"/>
        <w:ind w:right="206"/>
        <w:rPr>
          <w:sz w:val="20"/>
          <w:szCs w:val="20"/>
        </w:rPr>
      </w:pPr>
      <w:r w:rsidRPr="005C021A">
        <w:rPr>
          <w:rFonts w:eastAsia="Times New Roman"/>
        </w:rPr>
        <w:t xml:space="preserve">Kreipkitės </w:t>
      </w:r>
      <w:r w:rsidRPr="005C021A">
        <w:rPr>
          <w:rFonts w:eastAsia="Times New Roman"/>
          <w:b/>
          <w:bCs/>
        </w:rPr>
        <w:t>skubios</w:t>
      </w:r>
      <w:r w:rsidRPr="005C021A">
        <w:rPr>
          <w:rFonts w:eastAsia="Times New Roman"/>
        </w:rPr>
        <w:t xml:space="preserve"> medicinos pagalbos, jei pasireiškia bet kuris iš šių alerginės reakcijos požymių ir simptomų:</w:t>
      </w:r>
    </w:p>
    <w:p w:rsidR="009A7D3D" w:rsidRPr="005C021A" w:rsidRDefault="009A7D3D" w:rsidP="009A7D3D">
      <w:pPr>
        <w:spacing w:line="1" w:lineRule="exact"/>
        <w:rPr>
          <w:sz w:val="20"/>
          <w:szCs w:val="20"/>
        </w:rPr>
      </w:pPr>
    </w:p>
    <w:p w:rsidR="009A7D3D" w:rsidRPr="005C021A" w:rsidRDefault="009A7D3D" w:rsidP="009A7D3D">
      <w:pPr>
        <w:spacing w:line="255" w:lineRule="auto"/>
        <w:ind w:left="720" w:right="6006"/>
        <w:rPr>
          <w:sz w:val="20"/>
          <w:szCs w:val="20"/>
        </w:rPr>
      </w:pPr>
      <w:r w:rsidRPr="005C021A">
        <w:rPr>
          <w:rFonts w:eastAsia="Times New Roman"/>
        </w:rPr>
        <w:t>alpimas arba apsvaigimas; pasikeitęs širdies ritmas; dusulys;</w:t>
      </w:r>
    </w:p>
    <w:p w:rsidR="009A7D3D" w:rsidRPr="005C021A" w:rsidRDefault="009A7D3D" w:rsidP="009A7D3D">
      <w:pPr>
        <w:ind w:left="360"/>
        <w:rPr>
          <w:sz w:val="20"/>
          <w:szCs w:val="20"/>
        </w:rPr>
      </w:pPr>
      <w:r w:rsidRPr="005C021A">
        <w:rPr>
          <w:rFonts w:eastAsia="Times New Roman"/>
        </w:rPr>
        <w:t>gargimas;</w:t>
      </w:r>
    </w:p>
    <w:p w:rsidR="009A7D3D" w:rsidRPr="005C021A" w:rsidRDefault="009A7D3D" w:rsidP="009A7D3D">
      <w:pPr>
        <w:spacing w:line="15" w:lineRule="exact"/>
        <w:rPr>
          <w:sz w:val="20"/>
          <w:szCs w:val="20"/>
        </w:rPr>
      </w:pPr>
    </w:p>
    <w:p w:rsidR="009A7D3D" w:rsidRPr="005C021A" w:rsidRDefault="009A7D3D" w:rsidP="009A7D3D">
      <w:pPr>
        <w:spacing w:line="267" w:lineRule="auto"/>
        <w:ind w:left="720" w:right="5246"/>
        <w:rPr>
          <w:sz w:val="20"/>
          <w:szCs w:val="20"/>
        </w:rPr>
      </w:pPr>
      <w:r w:rsidRPr="005C021A">
        <w:rPr>
          <w:rFonts w:eastAsia="Times New Roman"/>
          <w:sz w:val="21"/>
          <w:szCs w:val="21"/>
        </w:rPr>
        <w:t>lūpų, veido arba gerklės patinimas; dilgėlinė arba išbėrimas;</w:t>
      </w:r>
    </w:p>
    <w:p w:rsidR="009A7D3D" w:rsidRPr="005C021A" w:rsidRDefault="009A7D3D" w:rsidP="009A7D3D">
      <w:pPr>
        <w:spacing w:line="320" w:lineRule="auto"/>
        <w:ind w:left="720" w:right="6066"/>
        <w:rPr>
          <w:sz w:val="20"/>
          <w:szCs w:val="20"/>
        </w:rPr>
      </w:pPr>
      <w:r w:rsidRPr="005C021A">
        <w:rPr>
          <w:rFonts w:eastAsia="Times New Roman"/>
          <w:sz w:val="21"/>
          <w:szCs w:val="21"/>
        </w:rPr>
        <w:t>pykinimas arba vėmimas; skrandžio skausmas;</w:t>
      </w:r>
    </w:p>
    <w:p w:rsidR="009A7D3D" w:rsidRPr="005C021A" w:rsidRDefault="009A7D3D" w:rsidP="009A7D3D">
      <w:pPr>
        <w:spacing w:line="134" w:lineRule="exact"/>
        <w:rPr>
          <w:sz w:val="20"/>
          <w:szCs w:val="20"/>
        </w:rPr>
      </w:pPr>
    </w:p>
    <w:p w:rsidR="009A7D3D" w:rsidRPr="005C021A" w:rsidRDefault="009A7D3D" w:rsidP="009A7D3D">
      <w:pPr>
        <w:spacing w:line="279" w:lineRule="auto"/>
        <w:ind w:right="106"/>
        <w:rPr>
          <w:sz w:val="20"/>
          <w:szCs w:val="20"/>
        </w:rPr>
      </w:pPr>
      <w:r w:rsidRPr="005C021A">
        <w:rPr>
          <w:rFonts w:eastAsia="Times New Roman"/>
        </w:rPr>
        <w:t>Jeigu pasireiškė bet koks kitas šalutinis poveikis, pasakykite apie tai gydytojui ar slaugytojui. Tai gali būti:</w:t>
      </w:r>
    </w:p>
    <w:p w:rsidR="009A7D3D" w:rsidRPr="005C021A" w:rsidRDefault="009A7D3D" w:rsidP="009A7D3D">
      <w:pPr>
        <w:spacing w:line="167" w:lineRule="exact"/>
        <w:rPr>
          <w:sz w:val="20"/>
          <w:szCs w:val="20"/>
        </w:rPr>
      </w:pPr>
    </w:p>
    <w:p w:rsidR="009A7D3D" w:rsidRPr="005C021A" w:rsidRDefault="009A7D3D" w:rsidP="009A7D3D">
      <w:pPr>
        <w:rPr>
          <w:sz w:val="20"/>
          <w:szCs w:val="20"/>
        </w:rPr>
      </w:pPr>
      <w:r w:rsidRPr="005C021A">
        <w:rPr>
          <w:rFonts w:eastAsia="Times New Roman"/>
          <w:b/>
          <w:bCs/>
        </w:rPr>
        <w:t>Labai dažnas</w:t>
      </w:r>
      <w:r w:rsidRPr="005C021A">
        <w:rPr>
          <w:rFonts w:eastAsia="Times New Roman"/>
        </w:rPr>
        <w:t xml:space="preserve"> (gali pasireikšti ne rečiau kaip 1 iš 10 asmenų):</w:t>
      </w:r>
    </w:p>
    <w:p w:rsidR="009A7D3D" w:rsidRPr="005C021A" w:rsidRDefault="009A7D3D" w:rsidP="009A7D3D">
      <w:pPr>
        <w:spacing w:line="3" w:lineRule="exact"/>
        <w:rPr>
          <w:sz w:val="20"/>
          <w:szCs w:val="20"/>
        </w:rPr>
      </w:pPr>
    </w:p>
    <w:p w:rsidR="009A7D3D" w:rsidRPr="005C021A" w:rsidRDefault="009A7D3D" w:rsidP="009A7D3D">
      <w:pPr>
        <w:ind w:left="720"/>
        <w:rPr>
          <w:sz w:val="20"/>
          <w:szCs w:val="20"/>
        </w:rPr>
      </w:pPr>
      <w:r w:rsidRPr="005C021A">
        <w:rPr>
          <w:rFonts w:eastAsia="Times New Roman"/>
        </w:rPr>
        <w:t>galvos skausmas;</w:t>
      </w:r>
    </w:p>
    <w:p w:rsidR="009A7D3D" w:rsidRPr="005C021A" w:rsidRDefault="009A7D3D" w:rsidP="009A7D3D">
      <w:pPr>
        <w:spacing w:line="1" w:lineRule="exact"/>
        <w:rPr>
          <w:sz w:val="20"/>
          <w:szCs w:val="20"/>
        </w:rPr>
      </w:pPr>
    </w:p>
    <w:p w:rsidR="009A7D3D" w:rsidRPr="005C021A" w:rsidRDefault="009A7D3D" w:rsidP="009A7D3D">
      <w:pPr>
        <w:spacing w:line="251" w:lineRule="auto"/>
        <w:ind w:left="1080" w:right="5706"/>
        <w:rPr>
          <w:sz w:val="20"/>
          <w:szCs w:val="20"/>
        </w:rPr>
      </w:pPr>
      <w:r w:rsidRPr="005C021A">
        <w:rPr>
          <w:rFonts w:eastAsia="Times New Roman"/>
          <w:sz w:val="21"/>
          <w:szCs w:val="21"/>
        </w:rPr>
        <w:t>pykinimas arba vėmimas; raumenų skausmas;</w:t>
      </w:r>
    </w:p>
    <w:p w:rsidR="009A7D3D" w:rsidRPr="005C021A" w:rsidRDefault="009A7D3D" w:rsidP="009A7D3D">
      <w:pPr>
        <w:spacing w:line="1" w:lineRule="exact"/>
        <w:rPr>
          <w:sz w:val="20"/>
          <w:szCs w:val="20"/>
        </w:rPr>
      </w:pPr>
    </w:p>
    <w:p w:rsidR="009A7D3D" w:rsidRPr="005C021A" w:rsidRDefault="009A7D3D" w:rsidP="009A7D3D">
      <w:pPr>
        <w:ind w:left="720"/>
        <w:rPr>
          <w:sz w:val="20"/>
          <w:szCs w:val="20"/>
        </w:rPr>
      </w:pPr>
      <w:r w:rsidRPr="005C021A">
        <w:rPr>
          <w:rFonts w:eastAsia="Times New Roman"/>
        </w:rPr>
        <w:t>sąnarių skausmas;</w:t>
      </w:r>
    </w:p>
    <w:p w:rsidR="009A7D3D" w:rsidRPr="005C021A" w:rsidRDefault="009A7D3D" w:rsidP="009A7D3D">
      <w:pPr>
        <w:ind w:left="1080" w:right="4126"/>
        <w:rPr>
          <w:sz w:val="20"/>
          <w:szCs w:val="20"/>
        </w:rPr>
      </w:pPr>
      <w:r w:rsidRPr="005C021A">
        <w:rPr>
          <w:rFonts w:eastAsia="Times New Roman"/>
        </w:rPr>
        <w:t>jautrumas arba skausmas suleidimo vietoje; stipraus nuovargio jausmas (nuovargis);</w:t>
      </w:r>
    </w:p>
    <w:p w:rsidR="009A7D3D" w:rsidRPr="005C021A" w:rsidRDefault="009A7D3D" w:rsidP="009A7D3D">
      <w:pPr>
        <w:ind w:left="720"/>
        <w:rPr>
          <w:sz w:val="20"/>
          <w:szCs w:val="20"/>
        </w:rPr>
      </w:pPr>
      <w:r w:rsidRPr="005C021A">
        <w:rPr>
          <w:rFonts w:eastAsia="Times New Roman"/>
        </w:rPr>
        <w:t>bendras negalavimas.</w:t>
      </w:r>
    </w:p>
    <w:p w:rsidR="009A7D3D" w:rsidRPr="005C021A" w:rsidRDefault="009A7D3D" w:rsidP="009A7D3D">
      <w:pPr>
        <w:spacing w:line="250" w:lineRule="exact"/>
        <w:rPr>
          <w:sz w:val="20"/>
          <w:szCs w:val="20"/>
        </w:rPr>
      </w:pPr>
    </w:p>
    <w:p w:rsidR="009A7D3D" w:rsidRPr="005C021A" w:rsidRDefault="009A7D3D" w:rsidP="009A7D3D">
      <w:pPr>
        <w:rPr>
          <w:sz w:val="20"/>
          <w:szCs w:val="20"/>
        </w:rPr>
      </w:pPr>
      <w:r w:rsidRPr="005C021A">
        <w:rPr>
          <w:rFonts w:eastAsia="Times New Roman"/>
          <w:b/>
          <w:bCs/>
        </w:rPr>
        <w:t>Dažnas</w:t>
      </w:r>
      <w:r w:rsidRPr="005C021A">
        <w:rPr>
          <w:rFonts w:eastAsia="Times New Roman"/>
        </w:rPr>
        <w:t xml:space="preserve"> (gali pasireikšti rečiau kaip 1 iš 10 asmenų):</w:t>
      </w:r>
    </w:p>
    <w:p w:rsidR="009A7D3D" w:rsidRPr="005C021A" w:rsidRDefault="009A7D3D" w:rsidP="009A7D3D">
      <w:pPr>
        <w:spacing w:line="3" w:lineRule="exact"/>
        <w:rPr>
          <w:sz w:val="20"/>
          <w:szCs w:val="20"/>
        </w:rPr>
      </w:pPr>
    </w:p>
    <w:p w:rsidR="009A7D3D" w:rsidRPr="005C021A" w:rsidRDefault="009A7D3D" w:rsidP="009A7D3D">
      <w:pPr>
        <w:spacing w:line="251" w:lineRule="auto"/>
        <w:ind w:left="1080" w:right="5386"/>
        <w:rPr>
          <w:sz w:val="20"/>
          <w:szCs w:val="20"/>
        </w:rPr>
      </w:pPr>
      <w:r w:rsidRPr="005C021A">
        <w:rPr>
          <w:rFonts w:eastAsia="Times New Roman"/>
          <w:sz w:val="21"/>
          <w:szCs w:val="21"/>
        </w:rPr>
        <w:t>paraudimas suleidimo vietoje patinimas suleidimo vietoje; karščiavimas (&gt;38 °C);</w:t>
      </w:r>
    </w:p>
    <w:p w:rsidR="009A7D3D" w:rsidRPr="005C021A" w:rsidRDefault="009A7D3D" w:rsidP="009A7D3D">
      <w:pPr>
        <w:ind w:left="720"/>
        <w:rPr>
          <w:sz w:val="20"/>
          <w:szCs w:val="20"/>
        </w:rPr>
      </w:pPr>
      <w:r w:rsidRPr="005C021A">
        <w:rPr>
          <w:rFonts w:eastAsia="Times New Roman"/>
        </w:rPr>
        <w:t>šaltkrėtis;</w:t>
      </w:r>
    </w:p>
    <w:p w:rsidR="009A7D3D" w:rsidRPr="005C021A" w:rsidRDefault="009A7D3D" w:rsidP="009A7D3D">
      <w:pPr>
        <w:spacing w:line="1" w:lineRule="exact"/>
        <w:rPr>
          <w:sz w:val="20"/>
          <w:szCs w:val="20"/>
        </w:rPr>
      </w:pPr>
    </w:p>
    <w:p w:rsidR="009A7D3D" w:rsidRPr="005C021A" w:rsidRDefault="009A7D3D" w:rsidP="009A7D3D">
      <w:pPr>
        <w:ind w:left="720"/>
        <w:rPr>
          <w:sz w:val="20"/>
          <w:szCs w:val="20"/>
        </w:rPr>
      </w:pPr>
      <w:r w:rsidRPr="005C021A">
        <w:rPr>
          <w:rFonts w:eastAsia="Times New Roman"/>
        </w:rPr>
        <w:t>rankų, plaštakos, kojos ir (arba) pėdos skausmas arba diskomfortas (skausmas galūnėje).</w:t>
      </w:r>
    </w:p>
    <w:p w:rsidR="009A7D3D" w:rsidRPr="005C021A" w:rsidRDefault="009A7D3D" w:rsidP="009A7D3D">
      <w:pPr>
        <w:spacing w:line="247" w:lineRule="exact"/>
        <w:rPr>
          <w:sz w:val="20"/>
          <w:szCs w:val="20"/>
        </w:rPr>
      </w:pPr>
    </w:p>
    <w:p w:rsidR="009A7D3D" w:rsidRPr="005C021A" w:rsidRDefault="009A7D3D" w:rsidP="009A7D3D">
      <w:pPr>
        <w:rPr>
          <w:sz w:val="20"/>
          <w:szCs w:val="20"/>
        </w:rPr>
      </w:pPr>
      <w:r w:rsidRPr="005C021A">
        <w:rPr>
          <w:rFonts w:eastAsia="Times New Roman"/>
          <w:b/>
          <w:bCs/>
        </w:rPr>
        <w:t>Nedažnas</w:t>
      </w:r>
      <w:r w:rsidRPr="005C021A">
        <w:rPr>
          <w:rFonts w:eastAsia="Times New Roman"/>
        </w:rPr>
        <w:t xml:space="preserve"> (gali pasireikšti rečiau kaip 1 iš 100 asmenų):</w:t>
      </w:r>
    </w:p>
    <w:p w:rsidR="009A7D3D" w:rsidRPr="005C021A" w:rsidRDefault="009A7D3D" w:rsidP="009A7D3D">
      <w:pPr>
        <w:spacing w:line="6" w:lineRule="exact"/>
        <w:rPr>
          <w:sz w:val="20"/>
          <w:szCs w:val="20"/>
        </w:rPr>
      </w:pPr>
    </w:p>
    <w:p w:rsidR="009A7D3D" w:rsidRPr="005C021A" w:rsidRDefault="009A7D3D" w:rsidP="009A7D3D">
      <w:pPr>
        <w:spacing w:line="251" w:lineRule="auto"/>
        <w:ind w:left="1080" w:right="6046"/>
        <w:jc w:val="both"/>
        <w:rPr>
          <w:sz w:val="20"/>
          <w:szCs w:val="20"/>
        </w:rPr>
      </w:pPr>
      <w:r w:rsidRPr="005C021A">
        <w:rPr>
          <w:rFonts w:eastAsia="Times New Roman"/>
          <w:sz w:val="21"/>
          <w:szCs w:val="21"/>
        </w:rPr>
        <w:t>padidėję limfmazgiai; aukštas kraujospūdis;</w:t>
      </w:r>
    </w:p>
    <w:p w:rsidR="009A7D3D" w:rsidRPr="005C021A" w:rsidRDefault="009A7D3D" w:rsidP="009A7D3D">
      <w:pPr>
        <w:spacing w:line="1" w:lineRule="exact"/>
        <w:rPr>
          <w:sz w:val="20"/>
          <w:szCs w:val="20"/>
        </w:rPr>
      </w:pPr>
    </w:p>
    <w:p w:rsidR="009A7D3D" w:rsidRPr="005C021A" w:rsidRDefault="009A7D3D" w:rsidP="009A7D3D">
      <w:pPr>
        <w:spacing w:line="239" w:lineRule="auto"/>
        <w:ind w:left="1080" w:right="4606"/>
        <w:rPr>
          <w:sz w:val="20"/>
          <w:szCs w:val="20"/>
        </w:rPr>
      </w:pPr>
      <w:r w:rsidRPr="005C021A">
        <w:rPr>
          <w:rFonts w:eastAsia="Times New Roman"/>
        </w:rPr>
        <w:t>niežtinti oda, išbėrimas arba dilgėlinė; odos paraudimas;</w:t>
      </w:r>
    </w:p>
    <w:p w:rsidR="009A7D3D" w:rsidRPr="005C021A" w:rsidRDefault="009A7D3D" w:rsidP="009A7D3D">
      <w:pPr>
        <w:ind w:left="720"/>
        <w:rPr>
          <w:sz w:val="20"/>
          <w:szCs w:val="20"/>
        </w:rPr>
      </w:pPr>
      <w:r w:rsidRPr="005C021A">
        <w:rPr>
          <w:rFonts w:eastAsia="Times New Roman"/>
        </w:rPr>
        <w:t>niežtinti oda suleidimo vietoje.</w:t>
      </w:r>
    </w:p>
    <w:p w:rsidR="009A7D3D" w:rsidRPr="005C021A" w:rsidRDefault="009A7D3D" w:rsidP="009A7D3D">
      <w:pPr>
        <w:spacing w:line="255" w:lineRule="exact"/>
        <w:rPr>
          <w:sz w:val="20"/>
          <w:szCs w:val="20"/>
        </w:rPr>
      </w:pPr>
    </w:p>
    <w:p w:rsidR="009A7D3D" w:rsidRPr="005C021A" w:rsidRDefault="009A7D3D" w:rsidP="009A7D3D">
      <w:pPr>
        <w:rPr>
          <w:sz w:val="20"/>
          <w:szCs w:val="20"/>
        </w:rPr>
      </w:pPr>
      <w:r w:rsidRPr="005C021A">
        <w:rPr>
          <w:rFonts w:eastAsia="Times New Roman"/>
          <w:b/>
          <w:bCs/>
        </w:rPr>
        <w:t>Pranešimas apie šalutinį poveikį</w:t>
      </w:r>
    </w:p>
    <w:p w:rsidR="009A7D3D" w:rsidRPr="005C021A" w:rsidRDefault="009A7D3D" w:rsidP="009A7D3D">
      <w:pPr>
        <w:spacing w:line="249" w:lineRule="auto"/>
        <w:ind w:right="346"/>
        <w:rPr>
          <w:sz w:val="20"/>
          <w:szCs w:val="20"/>
        </w:rPr>
      </w:pPr>
      <w:r w:rsidRPr="005C021A">
        <w:rPr>
          <w:rFonts w:eastAsia="Times New Roman"/>
        </w:rPr>
        <w:t xml:space="preserve">Jeigu pasireiškė šalutinis poveikis, įskaitant šiame lapelyje nenurodytą, pasakykite gydytojui, vaistininkui arba slaugytojui . Apie šalutinį poveikį taip pat galite pranešti tiesiogiai naudodamiesi </w:t>
      </w:r>
      <w:r w:rsidRPr="005C021A">
        <w:rPr>
          <w:rFonts w:eastAsia="Times New Roman"/>
          <w:color w:val="0000FF"/>
          <w:u w:val="single"/>
        </w:rPr>
        <w:t>V priede</w:t>
      </w:r>
      <w:r w:rsidRPr="005C021A">
        <w:rPr>
          <w:rFonts w:eastAsia="Times New Roman"/>
          <w:color w:val="000000"/>
        </w:rPr>
        <w:t xml:space="preserve"> nurodyta nacionaline pranešimo sistema ir nurodykite partijos / serijos numerį, kai yra.</w:t>
      </w:r>
      <w:r w:rsidRPr="005C021A">
        <w:rPr>
          <w:rFonts w:eastAsia="Times New Roman"/>
          <w:color w:val="0000FF"/>
          <w:u w:val="single"/>
        </w:rPr>
        <w:t xml:space="preserve"> </w:t>
      </w:r>
      <w:r w:rsidRPr="005C021A">
        <w:rPr>
          <w:rFonts w:eastAsia="Times New Roman"/>
          <w:color w:val="000000"/>
        </w:rPr>
        <w:t>Pranešdami apie šalutinį poveikį galite mums padėti gauti daugiau informacijos apie šios vakcinos saugumą.</w:t>
      </w: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14" w:lineRule="exact"/>
        <w:rPr>
          <w:sz w:val="20"/>
          <w:szCs w:val="20"/>
        </w:rPr>
      </w:pPr>
    </w:p>
    <w:p w:rsidR="009A7D3D" w:rsidRPr="005C021A" w:rsidRDefault="009A7D3D" w:rsidP="009A7D3D">
      <w:pPr>
        <w:ind w:right="66"/>
        <w:jc w:val="center"/>
        <w:rPr>
          <w:sz w:val="20"/>
          <w:szCs w:val="20"/>
        </w:rPr>
      </w:pPr>
      <w:r w:rsidRPr="005C021A">
        <w:rPr>
          <w:rFonts w:eastAsia="Arial"/>
          <w:sz w:val="16"/>
          <w:szCs w:val="16"/>
        </w:rPr>
        <w:t>26</w:t>
      </w:r>
    </w:p>
    <w:p w:rsidR="009A7D3D" w:rsidRPr="005C021A" w:rsidRDefault="009A7D3D" w:rsidP="009A7D3D">
      <w:pPr>
        <w:sectPr w:rsidR="009A7D3D" w:rsidRPr="005C021A">
          <w:pgSz w:w="11900" w:h="16841"/>
          <w:pgMar w:top="1103" w:right="1440" w:bottom="191" w:left="1420" w:header="0" w:footer="0" w:gutter="0"/>
          <w:cols w:space="720" w:equalWidth="0">
            <w:col w:w="9046"/>
          </w:cols>
        </w:sectPr>
      </w:pPr>
    </w:p>
    <w:p w:rsidR="009A7D3D" w:rsidRPr="005C021A" w:rsidRDefault="009A7D3D" w:rsidP="009A7D3D">
      <w:pPr>
        <w:ind w:left="1"/>
        <w:rPr>
          <w:sz w:val="20"/>
          <w:szCs w:val="20"/>
        </w:rPr>
      </w:pPr>
      <w:bookmarkStart w:id="2" w:name="page27"/>
      <w:bookmarkEnd w:id="2"/>
      <w:r w:rsidRPr="005C021A">
        <w:rPr>
          <w:rFonts w:eastAsia="Times New Roman"/>
          <w:b/>
          <w:bCs/>
        </w:rPr>
        <w:t>5. Kaip laikyti Nuvaxovid</w:t>
      </w:r>
    </w:p>
    <w:p w:rsidR="009A7D3D" w:rsidRPr="005C021A" w:rsidRDefault="009A7D3D" w:rsidP="009A7D3D">
      <w:pPr>
        <w:spacing w:line="253" w:lineRule="exact"/>
        <w:rPr>
          <w:sz w:val="20"/>
          <w:szCs w:val="20"/>
        </w:rPr>
      </w:pPr>
    </w:p>
    <w:p w:rsidR="009A7D3D" w:rsidRPr="005C021A" w:rsidRDefault="009A7D3D" w:rsidP="009A7D3D">
      <w:pPr>
        <w:ind w:left="1"/>
        <w:rPr>
          <w:sz w:val="20"/>
          <w:szCs w:val="20"/>
        </w:rPr>
      </w:pPr>
      <w:r w:rsidRPr="005C021A">
        <w:rPr>
          <w:rFonts w:eastAsia="Times New Roman"/>
        </w:rPr>
        <w:t>Šį vaistą laikykite vaikams nepastebimoje ir nepasiekiamoje vietoje.</w:t>
      </w:r>
    </w:p>
    <w:p w:rsidR="009A7D3D" w:rsidRPr="005C021A" w:rsidRDefault="009A7D3D" w:rsidP="009A7D3D">
      <w:pPr>
        <w:spacing w:line="253" w:lineRule="exact"/>
        <w:rPr>
          <w:sz w:val="20"/>
          <w:szCs w:val="20"/>
        </w:rPr>
      </w:pPr>
    </w:p>
    <w:p w:rsidR="009A7D3D" w:rsidRPr="005C021A" w:rsidRDefault="009A7D3D" w:rsidP="009A7D3D">
      <w:pPr>
        <w:spacing w:line="281" w:lineRule="auto"/>
        <w:ind w:left="1" w:right="586"/>
        <w:rPr>
          <w:sz w:val="20"/>
          <w:szCs w:val="20"/>
        </w:rPr>
      </w:pPr>
      <w:r w:rsidRPr="005C021A">
        <w:rPr>
          <w:rFonts w:eastAsia="Times New Roman"/>
        </w:rPr>
        <w:t>Jūsų gydytojas, vaistininkas arba slaugytojas yra atsakingas už šios vakcinos laikymą ir tinkamą nesuvartoto preparato šalinimą.</w:t>
      </w:r>
    </w:p>
    <w:p w:rsidR="009A7D3D" w:rsidRPr="005C021A" w:rsidRDefault="009A7D3D" w:rsidP="009A7D3D">
      <w:pPr>
        <w:spacing w:line="166" w:lineRule="exact"/>
        <w:rPr>
          <w:sz w:val="20"/>
          <w:szCs w:val="20"/>
        </w:rPr>
      </w:pPr>
    </w:p>
    <w:p w:rsidR="009A7D3D" w:rsidRPr="005C021A" w:rsidRDefault="009A7D3D" w:rsidP="009A7D3D">
      <w:pPr>
        <w:spacing w:line="281" w:lineRule="auto"/>
        <w:ind w:left="1" w:right="626"/>
        <w:rPr>
          <w:sz w:val="20"/>
          <w:szCs w:val="20"/>
        </w:rPr>
      </w:pPr>
      <w:r w:rsidRPr="005C021A">
        <w:rPr>
          <w:rFonts w:eastAsia="Times New Roman"/>
        </w:rPr>
        <w:t>Informacija apie laikymą, tinkamumo laiką, vartojimą ir tvarkymą aprašyta sveikatos priežiūros specialistams skirtame skyriuje pakuotės lapelio pabaigoje.</w:t>
      </w:r>
    </w:p>
    <w:p w:rsidR="009A7D3D" w:rsidRPr="005C021A" w:rsidRDefault="009A7D3D" w:rsidP="009A7D3D">
      <w:pPr>
        <w:spacing w:line="200" w:lineRule="exact"/>
        <w:rPr>
          <w:sz w:val="20"/>
          <w:szCs w:val="20"/>
        </w:rPr>
      </w:pPr>
    </w:p>
    <w:p w:rsidR="009A7D3D" w:rsidRPr="005C021A" w:rsidRDefault="009A7D3D" w:rsidP="009A7D3D">
      <w:pPr>
        <w:spacing w:line="222" w:lineRule="exact"/>
        <w:rPr>
          <w:sz w:val="20"/>
          <w:szCs w:val="20"/>
        </w:rPr>
      </w:pPr>
    </w:p>
    <w:p w:rsidR="009A7D3D" w:rsidRPr="005C021A" w:rsidRDefault="009A7D3D" w:rsidP="009A7D3D">
      <w:pPr>
        <w:numPr>
          <w:ilvl w:val="0"/>
          <w:numId w:val="2"/>
        </w:numPr>
        <w:tabs>
          <w:tab w:val="left" w:pos="222"/>
        </w:tabs>
        <w:spacing w:after="0" w:line="480" w:lineRule="auto"/>
        <w:ind w:left="1" w:right="5446" w:hanging="1"/>
        <w:rPr>
          <w:rFonts w:eastAsia="Times New Roman"/>
          <w:b/>
          <w:bCs/>
        </w:rPr>
      </w:pPr>
      <w:r w:rsidRPr="005C021A">
        <w:rPr>
          <w:rFonts w:eastAsia="Times New Roman"/>
          <w:b/>
          <w:bCs/>
        </w:rPr>
        <w:t>Pakuotės turinys ir kita informacija Nuvaxovid sudėtis</w:t>
      </w:r>
    </w:p>
    <w:p w:rsidR="009A7D3D" w:rsidRPr="005C021A" w:rsidRDefault="009A7D3D" w:rsidP="009A7D3D">
      <w:pPr>
        <w:spacing w:line="279" w:lineRule="auto"/>
        <w:ind w:left="461" w:right="806"/>
        <w:rPr>
          <w:rFonts w:eastAsia="Times New Roman"/>
          <w:b/>
          <w:bCs/>
        </w:rPr>
      </w:pPr>
      <w:r w:rsidRPr="005C021A">
        <w:rPr>
          <w:rFonts w:eastAsia="Times New Roman"/>
        </w:rPr>
        <w:t>Vienoje 0,5 ml Nuvaxovid dozėje yra 5 mikrogramai SARS-CoV-2 spyglio baltymo* su adjuvantu Matrix-M.</w:t>
      </w:r>
    </w:p>
    <w:p w:rsidR="009A7D3D" w:rsidRPr="005C021A" w:rsidRDefault="009A7D3D" w:rsidP="009A7D3D">
      <w:pPr>
        <w:spacing w:line="170" w:lineRule="exact"/>
        <w:rPr>
          <w:rFonts w:eastAsia="Times New Roman"/>
          <w:b/>
          <w:bCs/>
        </w:rPr>
      </w:pPr>
    </w:p>
    <w:p w:rsidR="009A7D3D" w:rsidRPr="005C021A" w:rsidRDefault="009A7D3D" w:rsidP="009A7D3D">
      <w:pPr>
        <w:spacing w:line="279" w:lineRule="auto"/>
        <w:ind w:left="421" w:right="306"/>
        <w:rPr>
          <w:rFonts w:eastAsia="Times New Roman"/>
          <w:b/>
          <w:bCs/>
        </w:rPr>
      </w:pPr>
      <w:r w:rsidRPr="005C021A">
        <w:rPr>
          <w:rFonts w:eastAsia="Times New Roman"/>
        </w:rPr>
        <w:t xml:space="preserve">* Gaminama taikant rekombinantinės DNR technologiją ir naudojant bakuloviruso ekspresijos sistemą vabzdžių ląstelių linijoje, gautoje iš </w:t>
      </w:r>
      <w:r w:rsidRPr="005C021A">
        <w:rPr>
          <w:rFonts w:eastAsia="Times New Roman"/>
          <w:i/>
          <w:iCs/>
        </w:rPr>
        <w:t>Spodoptera frugiperda</w:t>
      </w:r>
      <w:r w:rsidRPr="005C021A">
        <w:rPr>
          <w:rFonts w:eastAsia="Times New Roman"/>
        </w:rPr>
        <w:t xml:space="preserve"> veislės Sf9 ląstelių.</w:t>
      </w:r>
    </w:p>
    <w:p w:rsidR="009A7D3D" w:rsidRPr="005C021A" w:rsidRDefault="009A7D3D" w:rsidP="009A7D3D">
      <w:pPr>
        <w:spacing w:line="184" w:lineRule="exact"/>
        <w:rPr>
          <w:rFonts w:eastAsia="Times New Roman"/>
          <w:b/>
          <w:bCs/>
        </w:rPr>
      </w:pPr>
    </w:p>
    <w:p w:rsidR="009A7D3D" w:rsidRPr="005C021A" w:rsidRDefault="009A7D3D" w:rsidP="009A7D3D">
      <w:pPr>
        <w:spacing w:line="243" w:lineRule="auto"/>
        <w:ind w:left="461" w:right="126"/>
        <w:rPr>
          <w:rFonts w:eastAsia="Times New Roman"/>
          <w:b/>
          <w:bCs/>
        </w:rPr>
      </w:pPr>
      <w:r w:rsidRPr="005C021A">
        <w:rPr>
          <w:rFonts w:eastAsia="Times New Roman"/>
        </w:rPr>
        <w:t xml:space="preserve">Matrix-M į šią vakciną įtrauktas kaip adjuvantas. Adjuvantai yra tam tikrose vakcinose esančios medžiagos, skirtos vakcinos apsauginiam poveikiui pagreitinti, pagerinti ir (arba) pailginti. Adjuvanto Matrix-M sudėtyje taip pat yra </w:t>
      </w:r>
      <w:r w:rsidRPr="005C021A">
        <w:rPr>
          <w:rFonts w:eastAsia="Times New Roman"/>
          <w:i/>
          <w:iCs/>
        </w:rPr>
        <w:t>Quillaja saponaria</w:t>
      </w:r>
      <w:r w:rsidRPr="005C021A">
        <w:rPr>
          <w:rFonts w:eastAsia="Times New Roman"/>
        </w:rPr>
        <w:t xml:space="preserve"> Molina ekstrakto A frakcijos (42,5 mikrogramo) ir C frakcijos (7,5 mikrogramo)</w:t>
      </w:r>
      <w:r w:rsidRPr="005C021A">
        <w:rPr>
          <w:rFonts w:eastAsia="Times New Roman"/>
          <w:b/>
          <w:bCs/>
          <w:noProof/>
          <w:sz w:val="1"/>
          <w:szCs w:val="1"/>
        </w:rPr>
        <w:drawing>
          <wp:inline distT="0" distB="0" distL="0" distR="0" wp14:anchorId="16802264" wp14:editId="4CB40F33">
            <wp:extent cx="34925" cy="1524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srcRect/>
                    <a:stretch>
                      <a:fillRect/>
                    </a:stretch>
                  </pic:blipFill>
                  <pic:spPr bwMode="auto">
                    <a:xfrm>
                      <a:off x="0" y="0"/>
                      <a:ext cx="34925" cy="152400"/>
                    </a:xfrm>
                    <a:prstGeom prst="rect">
                      <a:avLst/>
                    </a:prstGeom>
                    <a:noFill/>
                    <a:ln>
                      <a:noFill/>
                    </a:ln>
                  </pic:spPr>
                </pic:pic>
              </a:graphicData>
            </a:graphic>
          </wp:inline>
        </w:drawing>
      </w:r>
      <w:r w:rsidRPr="005C021A">
        <w:rPr>
          <w:rFonts w:eastAsia="Times New Roman"/>
        </w:rPr>
        <w:t>vienoje 0,5 ml dozėje</w:t>
      </w:r>
      <w:r w:rsidRPr="005C021A">
        <w:rPr>
          <w:rFonts w:eastAsia="Times New Roman"/>
          <w:highlight w:val="white"/>
        </w:rPr>
        <w:t>.</w:t>
      </w:r>
    </w:p>
    <w:p w:rsidR="009A7D3D" w:rsidRPr="005C021A" w:rsidRDefault="009A7D3D" w:rsidP="009A7D3D">
      <w:pPr>
        <w:spacing w:line="222" w:lineRule="exact"/>
        <w:rPr>
          <w:rFonts w:eastAsia="Times New Roman"/>
          <w:b/>
          <w:bCs/>
        </w:rPr>
      </w:pPr>
    </w:p>
    <w:p w:rsidR="009A7D3D" w:rsidRPr="005C021A" w:rsidRDefault="009A7D3D" w:rsidP="009A7D3D">
      <w:pPr>
        <w:ind w:left="721" w:right="1046" w:hanging="269"/>
        <w:rPr>
          <w:rFonts w:eastAsia="Times New Roman"/>
          <w:b/>
          <w:bCs/>
        </w:rPr>
      </w:pPr>
      <w:r w:rsidRPr="005C021A">
        <w:rPr>
          <w:rFonts w:eastAsia="Times New Roman"/>
        </w:rPr>
        <w:t>Kitos sudedamosios dalys (pagalbinės medžiagos), esančios Nuvaxovid sudėtyje, yra: Dinatrio-vandenilio fosfatas heptahidratas</w:t>
      </w:r>
    </w:p>
    <w:p w:rsidR="009A7D3D" w:rsidRPr="005C021A" w:rsidRDefault="009A7D3D" w:rsidP="009A7D3D">
      <w:pPr>
        <w:spacing w:line="251" w:lineRule="auto"/>
        <w:ind w:left="721" w:right="4606"/>
        <w:rPr>
          <w:rFonts w:eastAsia="Times New Roman"/>
          <w:b/>
          <w:bCs/>
        </w:rPr>
      </w:pPr>
      <w:r w:rsidRPr="005C021A">
        <w:rPr>
          <w:rFonts w:eastAsia="Times New Roman"/>
          <w:sz w:val="21"/>
          <w:szCs w:val="21"/>
        </w:rPr>
        <w:t>Natrio-divandenilio fosfatas monohidratas Dinatrio-vandenilio fosfatas dihidratas</w:t>
      </w:r>
    </w:p>
    <w:p w:rsidR="009A7D3D" w:rsidRPr="005C021A" w:rsidRDefault="009A7D3D" w:rsidP="009A7D3D">
      <w:pPr>
        <w:spacing w:line="1" w:lineRule="exact"/>
        <w:rPr>
          <w:rFonts w:eastAsia="Times New Roman"/>
          <w:b/>
          <w:bCs/>
        </w:rPr>
      </w:pPr>
    </w:p>
    <w:p w:rsidR="009A7D3D" w:rsidRPr="005C021A" w:rsidRDefault="009A7D3D" w:rsidP="009A7D3D">
      <w:pPr>
        <w:spacing w:line="251" w:lineRule="auto"/>
        <w:ind w:left="721" w:right="6906"/>
        <w:jc w:val="both"/>
        <w:rPr>
          <w:rFonts w:eastAsia="Times New Roman"/>
          <w:b/>
          <w:bCs/>
        </w:rPr>
      </w:pPr>
      <w:r w:rsidRPr="005C021A">
        <w:rPr>
          <w:rFonts w:eastAsia="Times New Roman"/>
          <w:sz w:val="21"/>
          <w:szCs w:val="21"/>
        </w:rPr>
        <w:t>Natrio chloridas Polisorbatas 80 Cholesterolis</w:t>
      </w:r>
    </w:p>
    <w:p w:rsidR="009A7D3D" w:rsidRPr="005C021A" w:rsidRDefault="009A7D3D" w:rsidP="009A7D3D">
      <w:pPr>
        <w:ind w:left="721" w:right="3186"/>
        <w:rPr>
          <w:rFonts w:eastAsia="Times New Roman"/>
          <w:b/>
          <w:bCs/>
        </w:rPr>
      </w:pPr>
      <w:r w:rsidRPr="005C021A">
        <w:rPr>
          <w:rFonts w:eastAsia="Times New Roman"/>
        </w:rPr>
        <w:t>Fosfatidilcholinas (įskaitant visų racematų alfa-tokoferolį) Kalio-divandenilio fosfatas</w:t>
      </w:r>
    </w:p>
    <w:p w:rsidR="009A7D3D" w:rsidRPr="005C021A" w:rsidRDefault="009A7D3D" w:rsidP="009A7D3D">
      <w:pPr>
        <w:ind w:left="541"/>
        <w:rPr>
          <w:rFonts w:eastAsia="Times New Roman"/>
          <w:b/>
          <w:bCs/>
        </w:rPr>
      </w:pPr>
      <w:r w:rsidRPr="005C021A">
        <w:rPr>
          <w:rFonts w:eastAsia="Times New Roman"/>
        </w:rPr>
        <w:t>Kalio chloridas</w:t>
      </w:r>
    </w:p>
    <w:p w:rsidR="009A7D3D" w:rsidRPr="005C021A" w:rsidRDefault="009A7D3D" w:rsidP="009A7D3D">
      <w:pPr>
        <w:ind w:left="541"/>
        <w:rPr>
          <w:rFonts w:eastAsia="Times New Roman"/>
          <w:b/>
          <w:bCs/>
        </w:rPr>
      </w:pPr>
      <w:r w:rsidRPr="005C021A">
        <w:rPr>
          <w:rFonts w:eastAsia="Times New Roman"/>
        </w:rPr>
        <w:t>Natrio hidroksidas (pH koreguoti)</w:t>
      </w:r>
    </w:p>
    <w:p w:rsidR="009A7D3D" w:rsidRPr="005C021A" w:rsidRDefault="009A7D3D" w:rsidP="009A7D3D">
      <w:pPr>
        <w:spacing w:line="1" w:lineRule="exact"/>
        <w:rPr>
          <w:rFonts w:eastAsia="Times New Roman"/>
          <w:b/>
          <w:bCs/>
        </w:rPr>
      </w:pPr>
    </w:p>
    <w:p w:rsidR="009A7D3D" w:rsidRPr="005C021A" w:rsidRDefault="009A7D3D" w:rsidP="009A7D3D">
      <w:pPr>
        <w:spacing w:line="279" w:lineRule="auto"/>
        <w:ind w:left="721" w:right="4546"/>
        <w:rPr>
          <w:rFonts w:eastAsia="Times New Roman"/>
          <w:b/>
          <w:bCs/>
        </w:rPr>
      </w:pPr>
      <w:r w:rsidRPr="005C021A">
        <w:rPr>
          <w:rFonts w:eastAsia="Times New Roman"/>
        </w:rPr>
        <w:t>Vandenilio chlorido rūgštis (pH koreguoti) Injekcinis vanduo</w:t>
      </w:r>
    </w:p>
    <w:p w:rsidR="009A7D3D" w:rsidRPr="005C021A" w:rsidRDefault="009A7D3D" w:rsidP="009A7D3D">
      <w:pPr>
        <w:spacing w:line="171" w:lineRule="exact"/>
        <w:rPr>
          <w:sz w:val="20"/>
          <w:szCs w:val="20"/>
        </w:rPr>
      </w:pPr>
    </w:p>
    <w:p w:rsidR="009A7D3D" w:rsidRPr="005C021A" w:rsidRDefault="009A7D3D" w:rsidP="009A7D3D">
      <w:pPr>
        <w:ind w:left="1"/>
        <w:rPr>
          <w:sz w:val="20"/>
          <w:szCs w:val="20"/>
        </w:rPr>
      </w:pPr>
      <w:r w:rsidRPr="005C021A">
        <w:rPr>
          <w:rFonts w:eastAsia="Times New Roman"/>
          <w:b/>
          <w:bCs/>
        </w:rPr>
        <w:t>Nuvaxovid išvaizda ir kiekis pakuotėje</w:t>
      </w:r>
    </w:p>
    <w:p w:rsidR="009A7D3D" w:rsidRPr="005C021A" w:rsidRDefault="009A7D3D" w:rsidP="009A7D3D">
      <w:pPr>
        <w:spacing w:line="267" w:lineRule="exact"/>
        <w:rPr>
          <w:sz w:val="20"/>
          <w:szCs w:val="20"/>
        </w:rPr>
      </w:pPr>
    </w:p>
    <w:p w:rsidR="009A7D3D" w:rsidRPr="005C021A" w:rsidRDefault="009A7D3D" w:rsidP="009A7D3D">
      <w:pPr>
        <w:ind w:left="181"/>
        <w:rPr>
          <w:sz w:val="20"/>
          <w:szCs w:val="20"/>
        </w:rPr>
      </w:pPr>
      <w:r w:rsidRPr="005C021A">
        <w:rPr>
          <w:rFonts w:eastAsia="Times New Roman"/>
        </w:rPr>
        <w:t>Dispersija yra bespalvė arba gelsva, skaidri arba švelniai opalinė (pH 7,2).</w:t>
      </w:r>
    </w:p>
    <w:p w:rsidR="009A7D3D" w:rsidRPr="005C021A" w:rsidRDefault="009A7D3D" w:rsidP="009A7D3D">
      <w:pPr>
        <w:spacing w:line="15" w:lineRule="exact"/>
        <w:rPr>
          <w:sz w:val="20"/>
          <w:szCs w:val="20"/>
        </w:rPr>
      </w:pPr>
    </w:p>
    <w:p w:rsidR="009A7D3D" w:rsidRPr="005C021A" w:rsidRDefault="009A7D3D" w:rsidP="009A7D3D">
      <w:pPr>
        <w:spacing w:line="255" w:lineRule="auto"/>
        <w:ind w:left="461" w:right="1466"/>
        <w:rPr>
          <w:sz w:val="20"/>
          <w:szCs w:val="20"/>
        </w:rPr>
      </w:pPr>
      <w:r w:rsidRPr="005C021A">
        <w:rPr>
          <w:rFonts w:eastAsia="Times New Roman"/>
        </w:rPr>
        <w:t>5 ml dispersijos flakone su guminiu kamščiu ir mėlynu nuplėšiamuoju dangteliu. Kiekviename flakone yra 10 dozių po 0,5 ml</w:t>
      </w:r>
    </w:p>
    <w:p w:rsidR="009A7D3D" w:rsidRPr="005C021A" w:rsidRDefault="009A7D3D" w:rsidP="009A7D3D">
      <w:pPr>
        <w:ind w:left="181"/>
        <w:rPr>
          <w:sz w:val="20"/>
          <w:szCs w:val="20"/>
        </w:rPr>
      </w:pPr>
      <w:r w:rsidRPr="005C021A">
        <w:rPr>
          <w:rFonts w:eastAsia="Times New Roman"/>
        </w:rPr>
        <w:t>Pakuotės dydis: 10 daugiadozių flakonų.</w:t>
      </w:r>
    </w:p>
    <w:p w:rsidR="009A7D3D" w:rsidRPr="005C021A" w:rsidRDefault="009A7D3D" w:rsidP="009A7D3D">
      <w:pPr>
        <w:spacing w:line="255" w:lineRule="exact"/>
        <w:rPr>
          <w:sz w:val="20"/>
          <w:szCs w:val="20"/>
        </w:rPr>
      </w:pPr>
    </w:p>
    <w:p w:rsidR="009A7D3D" w:rsidRPr="005C021A" w:rsidRDefault="009A7D3D" w:rsidP="009A7D3D">
      <w:pPr>
        <w:ind w:left="1"/>
        <w:rPr>
          <w:sz w:val="20"/>
          <w:szCs w:val="20"/>
        </w:rPr>
      </w:pPr>
      <w:r w:rsidRPr="005C021A">
        <w:rPr>
          <w:rFonts w:eastAsia="Times New Roman"/>
          <w:b/>
          <w:bCs/>
        </w:rPr>
        <w:t>Registruotojas</w:t>
      </w:r>
    </w:p>
    <w:p w:rsidR="009A7D3D" w:rsidRPr="005C021A" w:rsidRDefault="009A7D3D" w:rsidP="009A7D3D">
      <w:pPr>
        <w:ind w:left="1"/>
        <w:rPr>
          <w:sz w:val="20"/>
          <w:szCs w:val="20"/>
        </w:rPr>
      </w:pPr>
      <w:r w:rsidRPr="005C021A">
        <w:rPr>
          <w:rFonts w:eastAsia="Times New Roman"/>
        </w:rPr>
        <w:t>Novavax CZ a.s.</w:t>
      </w:r>
    </w:p>
    <w:p w:rsidR="009A7D3D" w:rsidRPr="005C021A" w:rsidRDefault="009A7D3D" w:rsidP="009A7D3D">
      <w:pPr>
        <w:ind w:left="1"/>
        <w:rPr>
          <w:sz w:val="20"/>
          <w:szCs w:val="20"/>
        </w:rPr>
      </w:pPr>
      <w:r w:rsidRPr="005C021A">
        <w:rPr>
          <w:rFonts w:eastAsia="Times New Roman"/>
        </w:rPr>
        <w:t>Bohumil 138, Jevany, 28163, Čekija</w:t>
      </w:r>
    </w:p>
    <w:p w:rsidR="009A7D3D" w:rsidRPr="005C021A" w:rsidRDefault="009A7D3D" w:rsidP="009A7D3D">
      <w:pPr>
        <w:spacing w:line="252" w:lineRule="exact"/>
        <w:rPr>
          <w:sz w:val="20"/>
          <w:szCs w:val="20"/>
        </w:rPr>
      </w:pPr>
    </w:p>
    <w:p w:rsidR="009A7D3D" w:rsidRPr="005C021A" w:rsidRDefault="009A7D3D" w:rsidP="009A7D3D">
      <w:pPr>
        <w:ind w:left="1"/>
        <w:rPr>
          <w:sz w:val="20"/>
          <w:szCs w:val="20"/>
        </w:rPr>
      </w:pPr>
      <w:r w:rsidRPr="005C021A">
        <w:rPr>
          <w:rFonts w:eastAsia="Times New Roman"/>
          <w:b/>
          <w:bCs/>
        </w:rPr>
        <w:t>Gamintojas</w:t>
      </w:r>
    </w:p>
    <w:p w:rsidR="009A7D3D" w:rsidRPr="005C021A" w:rsidRDefault="009A7D3D" w:rsidP="009A7D3D">
      <w:pPr>
        <w:ind w:left="1"/>
        <w:rPr>
          <w:sz w:val="20"/>
          <w:szCs w:val="20"/>
        </w:rPr>
      </w:pPr>
      <w:r w:rsidRPr="005C021A">
        <w:rPr>
          <w:rFonts w:eastAsia="Times New Roman"/>
        </w:rPr>
        <w:t>Novavax CZ a.s.</w:t>
      </w:r>
    </w:p>
    <w:p w:rsidR="009A7D3D" w:rsidRPr="005C021A" w:rsidRDefault="009A7D3D" w:rsidP="009A7D3D">
      <w:pPr>
        <w:spacing w:line="1" w:lineRule="exact"/>
        <w:rPr>
          <w:sz w:val="20"/>
          <w:szCs w:val="20"/>
        </w:rPr>
      </w:pPr>
    </w:p>
    <w:p w:rsidR="009A7D3D" w:rsidRPr="005C021A" w:rsidRDefault="009A7D3D" w:rsidP="009A7D3D">
      <w:pPr>
        <w:ind w:left="1"/>
        <w:rPr>
          <w:sz w:val="20"/>
          <w:szCs w:val="20"/>
        </w:rPr>
      </w:pPr>
      <w:r w:rsidRPr="005C021A">
        <w:rPr>
          <w:rFonts w:eastAsia="Times New Roman"/>
        </w:rPr>
        <w:t>Bohumil 138, Jevany, 28163, Čekija</w:t>
      </w:r>
    </w:p>
    <w:p w:rsidR="009A7D3D" w:rsidRPr="005C021A" w:rsidRDefault="009A7D3D" w:rsidP="009A7D3D">
      <w:pPr>
        <w:spacing w:line="241" w:lineRule="exact"/>
        <w:rPr>
          <w:sz w:val="20"/>
          <w:szCs w:val="20"/>
        </w:rPr>
      </w:pPr>
    </w:p>
    <w:p w:rsidR="009A7D3D" w:rsidRPr="005C021A" w:rsidRDefault="009A7D3D" w:rsidP="009A7D3D">
      <w:pPr>
        <w:ind w:left="1"/>
        <w:rPr>
          <w:sz w:val="20"/>
          <w:szCs w:val="20"/>
        </w:rPr>
      </w:pPr>
      <w:r w:rsidRPr="005C021A">
        <w:rPr>
          <w:rFonts w:eastAsia="Times New Roman"/>
          <w:b/>
          <w:bCs/>
        </w:rPr>
        <w:t>Šis pakuotės lapelis paskutinį kartą peržiūrėtas {MMMM-MM-DD}.</w:t>
      </w:r>
    </w:p>
    <w:p w:rsidR="009A7D3D" w:rsidRPr="005C021A" w:rsidRDefault="009A7D3D" w:rsidP="009A7D3D">
      <w:pPr>
        <w:spacing w:line="200" w:lineRule="exact"/>
        <w:rPr>
          <w:sz w:val="20"/>
          <w:szCs w:val="20"/>
        </w:rPr>
      </w:pPr>
    </w:p>
    <w:p w:rsidR="009A7D3D" w:rsidRPr="005C021A" w:rsidRDefault="009A7D3D" w:rsidP="009A7D3D">
      <w:pPr>
        <w:spacing w:line="346" w:lineRule="exact"/>
        <w:rPr>
          <w:sz w:val="20"/>
          <w:szCs w:val="20"/>
        </w:rPr>
      </w:pPr>
    </w:p>
    <w:p w:rsidR="009A7D3D" w:rsidRPr="005C021A" w:rsidRDefault="009A7D3D" w:rsidP="009A7D3D">
      <w:pPr>
        <w:ind w:right="65"/>
        <w:jc w:val="center"/>
        <w:rPr>
          <w:sz w:val="20"/>
          <w:szCs w:val="20"/>
        </w:rPr>
      </w:pPr>
      <w:r w:rsidRPr="005C021A">
        <w:rPr>
          <w:rFonts w:eastAsia="Arial"/>
          <w:sz w:val="16"/>
          <w:szCs w:val="16"/>
        </w:rPr>
        <w:t>27</w:t>
      </w:r>
    </w:p>
    <w:p w:rsidR="009A7D3D" w:rsidRPr="005C021A" w:rsidRDefault="009A7D3D" w:rsidP="009A7D3D">
      <w:pPr>
        <w:sectPr w:rsidR="009A7D3D" w:rsidRPr="005C021A">
          <w:pgSz w:w="11900" w:h="16841"/>
          <w:pgMar w:top="1103" w:right="1440" w:bottom="191" w:left="1419" w:header="0" w:footer="0" w:gutter="0"/>
          <w:cols w:space="720" w:equalWidth="0">
            <w:col w:w="9048"/>
          </w:cols>
        </w:sectPr>
      </w:pPr>
    </w:p>
    <w:p w:rsidR="009A7D3D" w:rsidRPr="005C021A" w:rsidRDefault="009A7D3D" w:rsidP="009A7D3D">
      <w:pPr>
        <w:ind w:left="40"/>
        <w:rPr>
          <w:sz w:val="20"/>
          <w:szCs w:val="20"/>
        </w:rPr>
      </w:pPr>
      <w:bookmarkStart w:id="3" w:name="page28"/>
      <w:bookmarkEnd w:id="3"/>
      <w:r w:rsidRPr="005C021A">
        <w:rPr>
          <w:rFonts w:eastAsia="Times New Roman"/>
        </w:rPr>
        <w:t>Šios vakcinos registracija yra sąlyginė. Tai reiškia, kad laukiama tolesnių duomenų apie šią vakciną.</w:t>
      </w:r>
    </w:p>
    <w:p w:rsidR="009A7D3D" w:rsidRPr="005C021A" w:rsidRDefault="009A7D3D" w:rsidP="009A7D3D">
      <w:pPr>
        <w:spacing w:line="254" w:lineRule="exact"/>
        <w:rPr>
          <w:sz w:val="20"/>
          <w:szCs w:val="20"/>
        </w:rPr>
      </w:pPr>
    </w:p>
    <w:p w:rsidR="009A7D3D" w:rsidRPr="005C021A" w:rsidRDefault="009A7D3D" w:rsidP="009A7D3D">
      <w:pPr>
        <w:spacing w:line="281" w:lineRule="auto"/>
        <w:ind w:left="40" w:right="160"/>
        <w:rPr>
          <w:sz w:val="20"/>
          <w:szCs w:val="20"/>
        </w:rPr>
      </w:pPr>
      <w:r w:rsidRPr="005C021A">
        <w:rPr>
          <w:rFonts w:eastAsia="Times New Roman"/>
        </w:rPr>
        <w:t>Europos vaistų agentūra bent kartą per metus peržiūrės naują informaciją apie šią vakciną ir prireikus atnaujins šį lapelį.</w:t>
      </w:r>
    </w:p>
    <w:p w:rsidR="009A7D3D" w:rsidRPr="005C021A" w:rsidRDefault="009A7D3D" w:rsidP="009A7D3D">
      <w:pPr>
        <w:spacing w:line="168" w:lineRule="exact"/>
        <w:rPr>
          <w:sz w:val="20"/>
          <w:szCs w:val="20"/>
        </w:rPr>
      </w:pPr>
    </w:p>
    <w:p w:rsidR="009A7D3D" w:rsidRPr="005C021A" w:rsidRDefault="009A7D3D" w:rsidP="009A7D3D">
      <w:pPr>
        <w:ind w:left="40"/>
        <w:rPr>
          <w:sz w:val="20"/>
          <w:szCs w:val="20"/>
        </w:rPr>
      </w:pPr>
      <w:r w:rsidRPr="005C021A">
        <w:rPr>
          <w:rFonts w:eastAsia="Times New Roman"/>
        </w:rPr>
        <w:t>Nuskaitykite kodą mobiliuoju įrenginiu, kad gautumėte pakuotės lapelį reikiama kalba.</w:t>
      </w:r>
    </w:p>
    <w:p w:rsidR="009A7D3D" w:rsidRPr="005C021A" w:rsidRDefault="009A7D3D" w:rsidP="009A7D3D">
      <w:pPr>
        <w:spacing w:line="20" w:lineRule="exact"/>
        <w:rPr>
          <w:sz w:val="20"/>
          <w:szCs w:val="20"/>
        </w:rPr>
      </w:pPr>
      <w:r w:rsidRPr="005C021A">
        <w:rPr>
          <w:noProof/>
          <w:sz w:val="20"/>
          <w:szCs w:val="20"/>
        </w:rPr>
        <w:drawing>
          <wp:anchor distT="0" distB="0" distL="114300" distR="114300" simplePos="0" relativeHeight="251659264" behindDoc="1" locked="0" layoutInCell="0" allowOverlap="1" wp14:anchorId="32B7EC33" wp14:editId="54ED1DBE">
            <wp:simplePos x="0" y="0"/>
            <wp:positionH relativeFrom="column">
              <wp:posOffset>24130</wp:posOffset>
            </wp:positionH>
            <wp:positionV relativeFrom="paragraph">
              <wp:posOffset>178435</wp:posOffset>
            </wp:positionV>
            <wp:extent cx="866140" cy="86614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srcRect/>
                    <a:stretch>
                      <a:fillRect/>
                    </a:stretch>
                  </pic:blipFill>
                  <pic:spPr bwMode="auto">
                    <a:xfrm>
                      <a:off x="0" y="0"/>
                      <a:ext cx="866140" cy="866140"/>
                    </a:xfrm>
                    <a:prstGeom prst="rect">
                      <a:avLst/>
                    </a:prstGeom>
                    <a:noFill/>
                  </pic:spPr>
                </pic:pic>
              </a:graphicData>
            </a:graphic>
          </wp:anchor>
        </w:drawing>
      </w: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49" w:lineRule="exact"/>
        <w:rPr>
          <w:sz w:val="20"/>
          <w:szCs w:val="20"/>
        </w:rPr>
      </w:pPr>
    </w:p>
    <w:p w:rsidR="009A7D3D" w:rsidRPr="005C021A" w:rsidRDefault="009A7D3D" w:rsidP="009A7D3D">
      <w:pPr>
        <w:spacing w:line="503" w:lineRule="auto"/>
        <w:ind w:left="40" w:right="3040"/>
        <w:rPr>
          <w:sz w:val="20"/>
          <w:szCs w:val="20"/>
        </w:rPr>
      </w:pPr>
      <w:r w:rsidRPr="005C021A">
        <w:rPr>
          <w:rFonts w:eastAsia="Times New Roman"/>
          <w:sz w:val="21"/>
          <w:szCs w:val="21"/>
        </w:rPr>
        <w:t>Arba apsilankykite adresu: https://</w:t>
      </w:r>
      <w:r w:rsidRPr="005C021A">
        <w:rPr>
          <w:rFonts w:eastAsia="Times New Roman"/>
          <w:color w:val="0000FF"/>
          <w:sz w:val="21"/>
          <w:szCs w:val="21"/>
        </w:rPr>
        <w:t>www.NovavaxCovidVaccine.com</w:t>
      </w:r>
      <w:r w:rsidRPr="005C021A">
        <w:rPr>
          <w:rFonts w:eastAsia="Times New Roman"/>
          <w:sz w:val="21"/>
          <w:szCs w:val="21"/>
        </w:rPr>
        <w:t xml:space="preserve"> </w:t>
      </w:r>
      <w:r w:rsidRPr="005C021A">
        <w:rPr>
          <w:rFonts w:eastAsia="Times New Roman"/>
          <w:b/>
          <w:bCs/>
          <w:sz w:val="21"/>
          <w:szCs w:val="21"/>
        </w:rPr>
        <w:t>Kiti informacijos šaltiniai</w:t>
      </w:r>
    </w:p>
    <w:p w:rsidR="009A7D3D" w:rsidRPr="005C021A" w:rsidRDefault="009A7D3D" w:rsidP="009A7D3D">
      <w:pPr>
        <w:spacing w:line="1" w:lineRule="exact"/>
        <w:rPr>
          <w:sz w:val="20"/>
          <w:szCs w:val="20"/>
        </w:rPr>
      </w:pPr>
    </w:p>
    <w:p w:rsidR="009A7D3D" w:rsidRPr="005C021A" w:rsidRDefault="009A7D3D" w:rsidP="009A7D3D">
      <w:pPr>
        <w:spacing w:line="279" w:lineRule="auto"/>
        <w:ind w:left="40" w:right="840"/>
        <w:rPr>
          <w:sz w:val="20"/>
          <w:szCs w:val="20"/>
        </w:rPr>
      </w:pPr>
      <w:r w:rsidRPr="005C021A">
        <w:rPr>
          <w:rFonts w:eastAsia="Times New Roman"/>
        </w:rPr>
        <w:t xml:space="preserve">Išsami informacija apie šį vaistinį preparatą pateikiama Europos vaistų agentūros tinklalapyje </w:t>
      </w:r>
      <w:r w:rsidRPr="005C021A">
        <w:rPr>
          <w:rFonts w:eastAsia="Times New Roman"/>
          <w:color w:val="0000FF"/>
          <w:u w:val="single"/>
        </w:rPr>
        <w:t>http://www.ema.europa.eu</w:t>
      </w:r>
      <w:r w:rsidRPr="005C021A">
        <w:rPr>
          <w:rFonts w:eastAsia="Times New Roman"/>
          <w:color w:val="000000"/>
        </w:rPr>
        <w:t>.</w:t>
      </w:r>
    </w:p>
    <w:p w:rsidR="009A7D3D" w:rsidRPr="005C021A" w:rsidRDefault="009A7D3D" w:rsidP="009A7D3D">
      <w:pPr>
        <w:spacing w:line="170" w:lineRule="exact"/>
        <w:rPr>
          <w:sz w:val="20"/>
          <w:szCs w:val="20"/>
        </w:rPr>
      </w:pPr>
    </w:p>
    <w:p w:rsidR="009A7D3D" w:rsidRPr="005C021A" w:rsidRDefault="009A7D3D" w:rsidP="009A7D3D">
      <w:pPr>
        <w:ind w:left="40"/>
        <w:rPr>
          <w:sz w:val="20"/>
          <w:szCs w:val="20"/>
        </w:rPr>
      </w:pPr>
      <w:r w:rsidRPr="005C021A">
        <w:rPr>
          <w:rFonts w:eastAsia="Times New Roman"/>
        </w:rPr>
        <w:t>Šis lapelis pateikiamas Europos vaistų agentūros tinklalapyje visomis ES/EEE kalbomis.</w:t>
      </w:r>
    </w:p>
    <w:p w:rsidR="009A7D3D" w:rsidRPr="005C021A" w:rsidRDefault="009A7D3D" w:rsidP="009A7D3D">
      <w:pPr>
        <w:spacing w:line="253" w:lineRule="exact"/>
        <w:rPr>
          <w:sz w:val="20"/>
          <w:szCs w:val="20"/>
        </w:rPr>
      </w:pPr>
    </w:p>
    <w:p w:rsidR="009A7D3D" w:rsidRPr="005C021A" w:rsidRDefault="009A7D3D" w:rsidP="009A7D3D">
      <w:pPr>
        <w:ind w:left="40"/>
        <w:rPr>
          <w:sz w:val="20"/>
          <w:szCs w:val="20"/>
        </w:rPr>
      </w:pPr>
      <w:r w:rsidRPr="005C021A">
        <w:rPr>
          <w:rFonts w:eastAsia="Times New Roman"/>
        </w:rPr>
        <w:t>------------------------------------------------------------------------------------------------------------------------</w:t>
      </w:r>
    </w:p>
    <w:p w:rsidR="009A7D3D" w:rsidRPr="005C021A" w:rsidRDefault="009A7D3D" w:rsidP="009A7D3D">
      <w:pPr>
        <w:spacing w:line="255" w:lineRule="exact"/>
        <w:rPr>
          <w:sz w:val="20"/>
          <w:szCs w:val="20"/>
        </w:rPr>
      </w:pPr>
    </w:p>
    <w:p w:rsidR="009A7D3D" w:rsidRPr="005C021A" w:rsidRDefault="009A7D3D" w:rsidP="009A7D3D">
      <w:pPr>
        <w:rPr>
          <w:sz w:val="20"/>
          <w:szCs w:val="20"/>
        </w:rPr>
      </w:pPr>
      <w:r w:rsidRPr="005C021A">
        <w:rPr>
          <w:rFonts w:eastAsia="Times New Roman"/>
          <w:b/>
          <w:bCs/>
        </w:rPr>
        <w:t>Toliau pateikta informacija skirta tik sveikatos priežiūros specialistams.</w:t>
      </w:r>
    </w:p>
    <w:p w:rsidR="009A7D3D" w:rsidRPr="005C021A" w:rsidRDefault="009A7D3D" w:rsidP="009A7D3D">
      <w:pPr>
        <w:spacing w:line="250" w:lineRule="exact"/>
        <w:rPr>
          <w:sz w:val="20"/>
          <w:szCs w:val="20"/>
        </w:rPr>
      </w:pPr>
    </w:p>
    <w:p w:rsidR="009A7D3D" w:rsidRPr="005C021A" w:rsidRDefault="009A7D3D" w:rsidP="009A7D3D">
      <w:pPr>
        <w:ind w:left="40"/>
        <w:rPr>
          <w:sz w:val="20"/>
          <w:szCs w:val="20"/>
        </w:rPr>
      </w:pPr>
      <w:r w:rsidRPr="005C021A">
        <w:rPr>
          <w:rFonts w:eastAsia="Times New Roman"/>
        </w:rPr>
        <w:t>Nuvaxovid reikia leisti į raumenis, pageidautina į deltinį raumenį, dviem dozėmis, 3 savaičių intervalu.</w:t>
      </w:r>
    </w:p>
    <w:p w:rsidR="009A7D3D" w:rsidRPr="005C021A" w:rsidRDefault="009A7D3D" w:rsidP="009A7D3D">
      <w:pPr>
        <w:spacing w:line="254" w:lineRule="exact"/>
        <w:rPr>
          <w:sz w:val="20"/>
          <w:szCs w:val="20"/>
        </w:rPr>
      </w:pPr>
    </w:p>
    <w:p w:rsidR="009A7D3D" w:rsidRPr="005C021A" w:rsidRDefault="009A7D3D" w:rsidP="009A7D3D">
      <w:pPr>
        <w:ind w:left="40"/>
        <w:rPr>
          <w:sz w:val="20"/>
          <w:szCs w:val="20"/>
        </w:rPr>
      </w:pPr>
      <w:r w:rsidRPr="005C021A">
        <w:rPr>
          <w:rFonts w:eastAsia="Times New Roman"/>
          <w:u w:val="single"/>
        </w:rPr>
        <w:t>Atsekamumas</w:t>
      </w:r>
    </w:p>
    <w:p w:rsidR="009A7D3D" w:rsidRPr="005C021A" w:rsidRDefault="009A7D3D" w:rsidP="009A7D3D">
      <w:pPr>
        <w:spacing w:line="253" w:lineRule="exact"/>
        <w:rPr>
          <w:sz w:val="20"/>
          <w:szCs w:val="20"/>
        </w:rPr>
      </w:pPr>
    </w:p>
    <w:p w:rsidR="009A7D3D" w:rsidRPr="005C021A" w:rsidRDefault="009A7D3D" w:rsidP="009A7D3D">
      <w:pPr>
        <w:spacing w:line="279" w:lineRule="auto"/>
        <w:ind w:left="40" w:right="140"/>
        <w:rPr>
          <w:sz w:val="20"/>
          <w:szCs w:val="20"/>
        </w:rPr>
      </w:pPr>
      <w:r w:rsidRPr="005C021A">
        <w:rPr>
          <w:rFonts w:eastAsia="Times New Roman"/>
        </w:rPr>
        <w:t>Siekiant pagerinti biologinių vaistinių preparatų atsekamumą, reikia aiškiai užrašyti paskirto vaistinio preparato pavadinimą ir serijos numerį.</w:t>
      </w:r>
    </w:p>
    <w:p w:rsidR="009A7D3D" w:rsidRPr="005C021A" w:rsidRDefault="009A7D3D" w:rsidP="009A7D3D">
      <w:pPr>
        <w:spacing w:line="170" w:lineRule="exact"/>
        <w:rPr>
          <w:sz w:val="20"/>
          <w:szCs w:val="20"/>
        </w:rPr>
      </w:pPr>
    </w:p>
    <w:p w:rsidR="009A7D3D" w:rsidRPr="005C021A" w:rsidRDefault="009A7D3D" w:rsidP="009A7D3D">
      <w:pPr>
        <w:ind w:left="40"/>
        <w:rPr>
          <w:sz w:val="20"/>
          <w:szCs w:val="20"/>
        </w:rPr>
      </w:pPr>
      <w:r w:rsidRPr="005C021A">
        <w:rPr>
          <w:rFonts w:eastAsia="Times New Roman"/>
          <w:u w:val="single"/>
        </w:rPr>
        <w:t>Naudojimo ir vartojimo nurodymai</w:t>
      </w:r>
    </w:p>
    <w:p w:rsidR="009A7D3D" w:rsidRPr="005C021A" w:rsidRDefault="009A7D3D" w:rsidP="009A7D3D">
      <w:pPr>
        <w:spacing w:line="253" w:lineRule="exact"/>
        <w:rPr>
          <w:sz w:val="20"/>
          <w:szCs w:val="20"/>
        </w:rPr>
      </w:pPr>
    </w:p>
    <w:p w:rsidR="009A7D3D" w:rsidRPr="005C021A" w:rsidRDefault="009A7D3D" w:rsidP="009A7D3D">
      <w:pPr>
        <w:spacing w:line="279" w:lineRule="auto"/>
        <w:ind w:left="40" w:right="600"/>
        <w:rPr>
          <w:sz w:val="20"/>
          <w:szCs w:val="20"/>
        </w:rPr>
      </w:pPr>
      <w:r w:rsidRPr="005C021A">
        <w:rPr>
          <w:rFonts w:eastAsia="Times New Roman"/>
        </w:rPr>
        <w:t>Ant etiketės po „Tinka iki / EXP“ nurodytam tinkamumo laikui pasibaigus, šios vakcinos vartoti negalima. Tinkamumo data nurodyta iki paskutinės nurodyto mėnesio dienos.</w:t>
      </w:r>
    </w:p>
    <w:p w:rsidR="009A7D3D" w:rsidRPr="005C021A" w:rsidRDefault="009A7D3D" w:rsidP="009A7D3D">
      <w:pPr>
        <w:spacing w:line="170" w:lineRule="exact"/>
        <w:rPr>
          <w:sz w:val="20"/>
          <w:szCs w:val="20"/>
        </w:rPr>
      </w:pPr>
    </w:p>
    <w:p w:rsidR="009A7D3D" w:rsidRPr="005C021A" w:rsidRDefault="009A7D3D" w:rsidP="009A7D3D">
      <w:pPr>
        <w:spacing w:line="281" w:lineRule="auto"/>
        <w:ind w:left="40" w:right="1080"/>
        <w:rPr>
          <w:sz w:val="20"/>
          <w:szCs w:val="20"/>
        </w:rPr>
      </w:pPr>
      <w:r w:rsidRPr="005C021A">
        <w:rPr>
          <w:rFonts w:eastAsia="Times New Roman"/>
        </w:rPr>
        <w:t>Siekiant užtikrinti kiekvienos dozės sterilumą, šią vakciną turi naudoti sveikatos priežiūros specialistas, laikydamasis aseptinės metodikos.</w:t>
      </w:r>
    </w:p>
    <w:p w:rsidR="009A7D3D" w:rsidRPr="005C021A" w:rsidRDefault="009A7D3D" w:rsidP="009A7D3D">
      <w:pPr>
        <w:spacing w:line="173" w:lineRule="exact"/>
        <w:rPr>
          <w:sz w:val="20"/>
          <w:szCs w:val="20"/>
        </w:rPr>
      </w:pPr>
    </w:p>
    <w:p w:rsidR="009A7D3D" w:rsidRPr="005C021A" w:rsidRDefault="009A7D3D" w:rsidP="009A7D3D">
      <w:pPr>
        <w:ind w:left="40"/>
        <w:rPr>
          <w:sz w:val="20"/>
          <w:szCs w:val="20"/>
        </w:rPr>
      </w:pPr>
      <w:r w:rsidRPr="005C021A">
        <w:rPr>
          <w:rFonts w:eastAsia="Times New Roman"/>
          <w:i/>
          <w:iCs/>
        </w:rPr>
        <w:t>Paruošimas naudoti:</w:t>
      </w:r>
    </w:p>
    <w:p w:rsidR="009A7D3D" w:rsidRPr="005C021A" w:rsidRDefault="009A7D3D" w:rsidP="009A7D3D">
      <w:pPr>
        <w:spacing w:line="10" w:lineRule="exact"/>
        <w:rPr>
          <w:sz w:val="20"/>
          <w:szCs w:val="20"/>
        </w:rPr>
      </w:pPr>
    </w:p>
    <w:p w:rsidR="009A7D3D" w:rsidRPr="005C021A" w:rsidRDefault="009A7D3D" w:rsidP="009A7D3D">
      <w:pPr>
        <w:ind w:left="400"/>
        <w:rPr>
          <w:sz w:val="20"/>
          <w:szCs w:val="20"/>
        </w:rPr>
      </w:pPr>
      <w:r w:rsidRPr="005C021A">
        <w:rPr>
          <w:rFonts w:eastAsia="Times New Roman"/>
        </w:rPr>
        <w:t>Vakcina paruošta naudoti.</w:t>
      </w:r>
    </w:p>
    <w:p w:rsidR="009A7D3D" w:rsidRPr="005C021A" w:rsidRDefault="009A7D3D" w:rsidP="009A7D3D">
      <w:pPr>
        <w:spacing w:line="15" w:lineRule="exact"/>
        <w:rPr>
          <w:sz w:val="20"/>
          <w:szCs w:val="20"/>
        </w:rPr>
      </w:pPr>
    </w:p>
    <w:p w:rsidR="009A7D3D" w:rsidRPr="005C021A" w:rsidRDefault="009A7D3D" w:rsidP="009A7D3D">
      <w:pPr>
        <w:spacing w:line="247" w:lineRule="auto"/>
        <w:ind w:left="760" w:right="760"/>
        <w:rPr>
          <w:sz w:val="20"/>
          <w:szCs w:val="20"/>
        </w:rPr>
      </w:pPr>
      <w:r w:rsidRPr="005C021A">
        <w:rPr>
          <w:rFonts w:eastAsia="Times New Roman"/>
        </w:rPr>
        <w:t>Neatidarytą vakciną reikia laikyti šaldytuve (2 °C – 8 °C), išorinėje dėžutėje, kad būtų apsaugota nuo šviesos.</w:t>
      </w:r>
    </w:p>
    <w:p w:rsidR="009A7D3D" w:rsidRPr="005C021A" w:rsidRDefault="009A7D3D" w:rsidP="009A7D3D">
      <w:pPr>
        <w:ind w:left="400"/>
        <w:rPr>
          <w:sz w:val="20"/>
          <w:szCs w:val="20"/>
        </w:rPr>
      </w:pPr>
      <w:r w:rsidRPr="005C021A">
        <w:rPr>
          <w:rFonts w:eastAsia="Times New Roman"/>
        </w:rPr>
        <w:t>Prieš pat naudojimą išimkite vakcinos flakoną iš dėžutės šaldytuve.</w:t>
      </w:r>
    </w:p>
    <w:p w:rsidR="009A7D3D" w:rsidRPr="005C021A" w:rsidRDefault="009A7D3D" w:rsidP="009A7D3D">
      <w:pPr>
        <w:spacing w:line="15" w:lineRule="exact"/>
        <w:rPr>
          <w:sz w:val="20"/>
          <w:szCs w:val="20"/>
        </w:rPr>
      </w:pPr>
    </w:p>
    <w:p w:rsidR="009A7D3D" w:rsidRPr="005C021A" w:rsidRDefault="009A7D3D" w:rsidP="009A7D3D">
      <w:pPr>
        <w:spacing w:line="281" w:lineRule="auto"/>
        <w:ind w:left="760" w:right="340"/>
        <w:rPr>
          <w:sz w:val="20"/>
          <w:szCs w:val="20"/>
        </w:rPr>
      </w:pPr>
      <w:r w:rsidRPr="005C021A">
        <w:rPr>
          <w:rFonts w:eastAsia="Times New Roman"/>
        </w:rPr>
        <w:t>Ant flakono etiketės užrašykite išmetimo datą ir laiką. Suvartokite per 6 valandas po pirmo pradūrimo.</w:t>
      </w:r>
    </w:p>
    <w:p w:rsidR="009A7D3D" w:rsidRPr="005C021A" w:rsidRDefault="009A7D3D" w:rsidP="009A7D3D">
      <w:pPr>
        <w:spacing w:line="168" w:lineRule="exact"/>
        <w:rPr>
          <w:sz w:val="20"/>
          <w:szCs w:val="20"/>
        </w:rPr>
      </w:pPr>
    </w:p>
    <w:p w:rsidR="009A7D3D" w:rsidRPr="005C021A" w:rsidRDefault="009A7D3D" w:rsidP="009A7D3D">
      <w:pPr>
        <w:ind w:left="40"/>
        <w:rPr>
          <w:sz w:val="20"/>
          <w:szCs w:val="20"/>
        </w:rPr>
      </w:pPr>
      <w:r w:rsidRPr="005C021A">
        <w:rPr>
          <w:rFonts w:eastAsia="Times New Roman"/>
          <w:i/>
          <w:iCs/>
        </w:rPr>
        <w:t>Patikrinkite flakoną</w:t>
      </w:r>
      <w:r w:rsidRPr="005C021A">
        <w:rPr>
          <w:rFonts w:eastAsia="Times New Roman"/>
        </w:rPr>
        <w:t>:</w:t>
      </w:r>
    </w:p>
    <w:p w:rsidR="009A7D3D" w:rsidRPr="005C021A" w:rsidRDefault="009A7D3D" w:rsidP="009A7D3D">
      <w:pPr>
        <w:spacing w:line="13" w:lineRule="exact"/>
        <w:rPr>
          <w:sz w:val="20"/>
          <w:szCs w:val="20"/>
        </w:rPr>
      </w:pPr>
    </w:p>
    <w:p w:rsidR="009A7D3D" w:rsidRPr="005C021A" w:rsidRDefault="009A7D3D" w:rsidP="009A7D3D">
      <w:pPr>
        <w:spacing w:line="248" w:lineRule="auto"/>
        <w:ind w:left="760" w:right="960"/>
        <w:rPr>
          <w:sz w:val="20"/>
          <w:szCs w:val="20"/>
        </w:rPr>
      </w:pPr>
      <w:r w:rsidRPr="005C021A">
        <w:rPr>
          <w:rFonts w:eastAsia="Times New Roman"/>
        </w:rPr>
        <w:t>Daugiadozį flakoną atsargiai pasukiokite prieš kiekvieną dozės ištraukimą ir tarp jų. Nekratykite.</w:t>
      </w:r>
    </w:p>
    <w:p w:rsidR="009A7D3D" w:rsidRPr="005C021A" w:rsidRDefault="009A7D3D" w:rsidP="009A7D3D">
      <w:pPr>
        <w:spacing w:line="281" w:lineRule="auto"/>
        <w:ind w:left="760" w:right="300"/>
        <w:rPr>
          <w:sz w:val="20"/>
          <w:szCs w:val="20"/>
        </w:rPr>
      </w:pPr>
      <w:r w:rsidRPr="005C021A">
        <w:rPr>
          <w:rFonts w:eastAsia="Times New Roman"/>
        </w:rPr>
        <w:t>Kiekviename daugiadoziame flakone yra bespalvė arba gelsva, skaidri arba švelniai opalinė dispersija.</w:t>
      </w: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56" w:lineRule="exact"/>
        <w:rPr>
          <w:sz w:val="20"/>
          <w:szCs w:val="20"/>
        </w:rPr>
      </w:pPr>
    </w:p>
    <w:p w:rsidR="009A7D3D" w:rsidRPr="005C021A" w:rsidRDefault="009A7D3D" w:rsidP="009A7D3D">
      <w:pPr>
        <w:ind w:right="60"/>
        <w:jc w:val="center"/>
        <w:rPr>
          <w:sz w:val="20"/>
          <w:szCs w:val="20"/>
        </w:rPr>
      </w:pPr>
      <w:r w:rsidRPr="005C021A">
        <w:rPr>
          <w:rFonts w:eastAsia="Arial"/>
          <w:sz w:val="16"/>
          <w:szCs w:val="16"/>
        </w:rPr>
        <w:t>28</w:t>
      </w:r>
    </w:p>
    <w:p w:rsidR="009A7D3D" w:rsidRPr="005C021A" w:rsidRDefault="009A7D3D" w:rsidP="009A7D3D">
      <w:pPr>
        <w:sectPr w:rsidR="009A7D3D" w:rsidRPr="005C021A">
          <w:pgSz w:w="11900" w:h="16841"/>
          <w:pgMar w:top="1102" w:right="1406" w:bottom="191" w:left="1380" w:header="0" w:footer="0" w:gutter="0"/>
          <w:cols w:space="720" w:equalWidth="0">
            <w:col w:w="9120"/>
          </w:cols>
        </w:sectPr>
      </w:pPr>
    </w:p>
    <w:p w:rsidR="009A7D3D" w:rsidRPr="005C021A" w:rsidRDefault="009A7D3D" w:rsidP="009A7D3D">
      <w:pPr>
        <w:spacing w:line="281" w:lineRule="auto"/>
        <w:ind w:left="700" w:right="806"/>
        <w:rPr>
          <w:sz w:val="20"/>
          <w:szCs w:val="20"/>
        </w:rPr>
      </w:pPr>
      <w:bookmarkStart w:id="4" w:name="page29"/>
      <w:bookmarkEnd w:id="4"/>
      <w:r w:rsidRPr="005C021A">
        <w:rPr>
          <w:rFonts w:eastAsia="Times New Roman"/>
        </w:rPr>
        <w:t>Prieš vartojimą apžiūrėkite, ar flakone nėra matomų dalelių ir (arba) spalvos pokyčių. Neskiepykite, jeigu tokių yra.</w:t>
      </w:r>
    </w:p>
    <w:p w:rsidR="009A7D3D" w:rsidRPr="005C021A" w:rsidRDefault="009A7D3D" w:rsidP="009A7D3D">
      <w:pPr>
        <w:spacing w:line="173" w:lineRule="exact"/>
        <w:rPr>
          <w:sz w:val="20"/>
          <w:szCs w:val="20"/>
        </w:rPr>
      </w:pPr>
    </w:p>
    <w:p w:rsidR="009A7D3D" w:rsidRPr="005C021A" w:rsidRDefault="009A7D3D" w:rsidP="009A7D3D">
      <w:pPr>
        <w:rPr>
          <w:sz w:val="20"/>
          <w:szCs w:val="20"/>
        </w:rPr>
      </w:pPr>
      <w:r w:rsidRPr="005C021A">
        <w:rPr>
          <w:rFonts w:eastAsia="Times New Roman"/>
          <w:i/>
          <w:iCs/>
        </w:rPr>
        <w:t>Suleiskite vakciną:</w:t>
      </w:r>
    </w:p>
    <w:p w:rsidR="009A7D3D" w:rsidRPr="005C021A" w:rsidRDefault="009A7D3D" w:rsidP="009A7D3D">
      <w:pPr>
        <w:spacing w:line="12" w:lineRule="exact"/>
        <w:rPr>
          <w:sz w:val="20"/>
          <w:szCs w:val="20"/>
        </w:rPr>
      </w:pPr>
    </w:p>
    <w:p w:rsidR="009A7D3D" w:rsidRPr="005C021A" w:rsidRDefault="009A7D3D" w:rsidP="009A7D3D">
      <w:pPr>
        <w:spacing w:line="247" w:lineRule="auto"/>
        <w:ind w:left="720" w:right="166"/>
        <w:rPr>
          <w:sz w:val="20"/>
          <w:szCs w:val="20"/>
        </w:rPr>
      </w:pPr>
      <w:r w:rsidRPr="005C021A">
        <w:rPr>
          <w:rFonts w:eastAsia="Times New Roman"/>
        </w:rPr>
        <w:t>Kiekviename flakone yra kiekio perteklius, kad tikrai būtų galima ištraukti iki dešimties (10) 0,5 ml dozių.</w:t>
      </w:r>
    </w:p>
    <w:p w:rsidR="009A7D3D" w:rsidRPr="005C021A" w:rsidRDefault="009A7D3D" w:rsidP="009A7D3D">
      <w:pPr>
        <w:spacing w:line="248" w:lineRule="auto"/>
        <w:ind w:left="720" w:right="126"/>
        <w:rPr>
          <w:sz w:val="20"/>
          <w:szCs w:val="20"/>
        </w:rPr>
      </w:pPr>
      <w:r w:rsidRPr="005C021A">
        <w:rPr>
          <w:rFonts w:eastAsia="Times New Roman"/>
        </w:rPr>
        <w:t>Kiekviena 0,5 ml dozė ištraukiama sterilia adata į sterilų švirkštą, skirtą injekcijai į raumenis, pageidautina į deltinį raumenį.</w:t>
      </w:r>
    </w:p>
    <w:p w:rsidR="009A7D3D" w:rsidRPr="005C021A" w:rsidRDefault="009A7D3D" w:rsidP="009A7D3D">
      <w:pPr>
        <w:spacing w:line="247" w:lineRule="auto"/>
        <w:ind w:left="1440" w:right="206"/>
        <w:rPr>
          <w:sz w:val="20"/>
          <w:szCs w:val="20"/>
        </w:rPr>
      </w:pPr>
      <w:r w:rsidRPr="005C021A">
        <w:rPr>
          <w:rFonts w:eastAsia="Times New Roman"/>
        </w:rPr>
        <w:t>Tame pačiame švirkšte vakcinos nemaišykite su kitomis vakcinomis arba vaistiniais preparatais.</w:t>
      </w:r>
    </w:p>
    <w:p w:rsidR="009A7D3D" w:rsidRPr="005C021A" w:rsidRDefault="009A7D3D" w:rsidP="009A7D3D">
      <w:pPr>
        <w:ind w:left="1080"/>
        <w:rPr>
          <w:sz w:val="20"/>
          <w:szCs w:val="20"/>
        </w:rPr>
      </w:pPr>
      <w:r w:rsidRPr="005C021A">
        <w:rPr>
          <w:rFonts w:eastAsia="Times New Roman"/>
        </w:rPr>
        <w:t>Nekaupkite perteklinio vakcinos kiekio iš kelių flakonų.</w:t>
      </w:r>
    </w:p>
    <w:p w:rsidR="009A7D3D" w:rsidRPr="005C021A" w:rsidRDefault="009A7D3D" w:rsidP="009A7D3D">
      <w:pPr>
        <w:spacing w:line="274" w:lineRule="exact"/>
        <w:rPr>
          <w:sz w:val="20"/>
          <w:szCs w:val="20"/>
        </w:rPr>
      </w:pPr>
    </w:p>
    <w:p w:rsidR="009A7D3D" w:rsidRPr="005C021A" w:rsidRDefault="009A7D3D" w:rsidP="009A7D3D">
      <w:pPr>
        <w:rPr>
          <w:sz w:val="20"/>
          <w:szCs w:val="20"/>
        </w:rPr>
      </w:pPr>
      <w:r w:rsidRPr="005C021A">
        <w:rPr>
          <w:rFonts w:eastAsia="Times New Roman"/>
          <w:i/>
          <w:iCs/>
        </w:rPr>
        <w:t>Laikymas po pirmojo adatos pradūrimo:</w:t>
      </w:r>
    </w:p>
    <w:p w:rsidR="009A7D3D" w:rsidRPr="005C021A" w:rsidRDefault="009A7D3D" w:rsidP="009A7D3D">
      <w:pPr>
        <w:spacing w:line="10" w:lineRule="exact"/>
        <w:rPr>
          <w:sz w:val="20"/>
          <w:szCs w:val="20"/>
        </w:rPr>
      </w:pPr>
    </w:p>
    <w:p w:rsidR="009A7D3D" w:rsidRPr="005C021A" w:rsidRDefault="009A7D3D" w:rsidP="009A7D3D">
      <w:pPr>
        <w:spacing w:line="281" w:lineRule="auto"/>
        <w:ind w:left="720" w:right="166"/>
        <w:rPr>
          <w:sz w:val="20"/>
          <w:szCs w:val="20"/>
        </w:rPr>
      </w:pPr>
      <w:r w:rsidRPr="005C021A">
        <w:rPr>
          <w:rFonts w:eastAsia="Times New Roman"/>
        </w:rPr>
        <w:t>Nuvaxovid sudėtyje nėra konservanto. Atidarytą flakoną 2 °C–25 °C temperatūroje laikykite ne ilgiau kaip 6 valandas po pirmojo pradūrimo.</w:t>
      </w:r>
    </w:p>
    <w:p w:rsidR="009A7D3D" w:rsidRPr="005C021A" w:rsidRDefault="009A7D3D" w:rsidP="009A7D3D">
      <w:pPr>
        <w:spacing w:line="170" w:lineRule="exact"/>
        <w:rPr>
          <w:sz w:val="20"/>
          <w:szCs w:val="20"/>
        </w:rPr>
      </w:pPr>
    </w:p>
    <w:p w:rsidR="009A7D3D" w:rsidRPr="005C021A" w:rsidRDefault="009A7D3D" w:rsidP="009A7D3D">
      <w:pPr>
        <w:rPr>
          <w:sz w:val="20"/>
          <w:szCs w:val="20"/>
        </w:rPr>
      </w:pPr>
      <w:r w:rsidRPr="005C021A">
        <w:rPr>
          <w:rFonts w:eastAsia="Times New Roman"/>
          <w:i/>
          <w:iCs/>
        </w:rPr>
        <w:t>Išmeskite:</w:t>
      </w:r>
    </w:p>
    <w:p w:rsidR="009A7D3D" w:rsidRPr="005C021A" w:rsidRDefault="009A7D3D" w:rsidP="009A7D3D">
      <w:pPr>
        <w:spacing w:line="12" w:lineRule="exact"/>
        <w:rPr>
          <w:sz w:val="20"/>
          <w:szCs w:val="20"/>
        </w:rPr>
      </w:pPr>
    </w:p>
    <w:p w:rsidR="009A7D3D" w:rsidRPr="005C021A" w:rsidRDefault="009A7D3D" w:rsidP="009A7D3D">
      <w:pPr>
        <w:spacing w:line="281" w:lineRule="auto"/>
        <w:ind w:left="720" w:right="306"/>
        <w:rPr>
          <w:sz w:val="20"/>
          <w:szCs w:val="20"/>
        </w:rPr>
      </w:pPr>
      <w:r w:rsidRPr="005C021A">
        <w:rPr>
          <w:rFonts w:eastAsia="Times New Roman"/>
        </w:rPr>
        <w:t>Jeigu nesuvartojama per 6 valandas po flakono pirmo pradūrimo, šią vakciną išmeskite (žr. 6.3 skyrių).</w:t>
      </w:r>
    </w:p>
    <w:p w:rsidR="009A7D3D" w:rsidRPr="005C021A" w:rsidRDefault="009A7D3D" w:rsidP="009A7D3D">
      <w:pPr>
        <w:spacing w:line="172" w:lineRule="exact"/>
        <w:rPr>
          <w:sz w:val="20"/>
          <w:szCs w:val="20"/>
        </w:rPr>
      </w:pPr>
    </w:p>
    <w:p w:rsidR="009A7D3D" w:rsidRPr="005C021A" w:rsidRDefault="009A7D3D" w:rsidP="009A7D3D">
      <w:pPr>
        <w:rPr>
          <w:sz w:val="20"/>
          <w:szCs w:val="20"/>
        </w:rPr>
      </w:pPr>
      <w:r w:rsidRPr="005C021A">
        <w:rPr>
          <w:rFonts w:eastAsia="Times New Roman"/>
          <w:i/>
          <w:iCs/>
        </w:rPr>
        <w:t>Atliekų tvarkymas</w:t>
      </w:r>
    </w:p>
    <w:p w:rsidR="009A7D3D" w:rsidRPr="005C021A" w:rsidRDefault="009A7D3D" w:rsidP="009A7D3D">
      <w:pPr>
        <w:spacing w:line="10" w:lineRule="exact"/>
        <w:rPr>
          <w:sz w:val="20"/>
          <w:szCs w:val="20"/>
        </w:rPr>
      </w:pPr>
    </w:p>
    <w:p w:rsidR="009A7D3D" w:rsidRPr="005C021A" w:rsidRDefault="009A7D3D" w:rsidP="009A7D3D">
      <w:pPr>
        <w:ind w:left="360"/>
        <w:rPr>
          <w:sz w:val="20"/>
          <w:szCs w:val="20"/>
        </w:rPr>
      </w:pPr>
      <w:r w:rsidRPr="005C021A">
        <w:rPr>
          <w:rFonts w:eastAsia="Times New Roman"/>
        </w:rPr>
        <w:t>Nesuvartotą vaistinį preparatą ar atliekas reikia tvarkyti laikantis vietinių reikalavimų.</w:t>
      </w: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92" w:lineRule="exact"/>
        <w:rPr>
          <w:sz w:val="20"/>
          <w:szCs w:val="20"/>
        </w:rPr>
      </w:pPr>
    </w:p>
    <w:p w:rsidR="009A7D3D" w:rsidRPr="005C021A" w:rsidRDefault="009A7D3D" w:rsidP="009A7D3D">
      <w:pPr>
        <w:ind w:right="86"/>
        <w:jc w:val="center"/>
        <w:rPr>
          <w:sz w:val="20"/>
          <w:szCs w:val="20"/>
        </w:rPr>
      </w:pPr>
      <w:r w:rsidRPr="005C021A">
        <w:rPr>
          <w:rFonts w:eastAsia="Arial"/>
          <w:sz w:val="16"/>
          <w:szCs w:val="16"/>
        </w:rPr>
        <w:t>29</w:t>
      </w:r>
    </w:p>
    <w:p w:rsidR="009A7D3D" w:rsidRPr="005C021A" w:rsidRDefault="009A7D3D" w:rsidP="009A7D3D">
      <w:pPr>
        <w:sectPr w:rsidR="009A7D3D" w:rsidRPr="005C021A">
          <w:pgSz w:w="11900" w:h="16841"/>
          <w:pgMar w:top="1116" w:right="1440" w:bottom="191" w:left="1420" w:header="0" w:footer="0" w:gutter="0"/>
          <w:cols w:space="720" w:equalWidth="0">
            <w:col w:w="9046"/>
          </w:cols>
        </w:sectPr>
      </w:pPr>
    </w:p>
    <w:p w:rsidR="009A7D3D" w:rsidRPr="005C021A" w:rsidRDefault="009A7D3D" w:rsidP="009A7D3D">
      <w:pPr>
        <w:spacing w:line="200" w:lineRule="exact"/>
        <w:rPr>
          <w:sz w:val="20"/>
          <w:szCs w:val="20"/>
        </w:rPr>
      </w:pPr>
      <w:bookmarkStart w:id="5" w:name="page30"/>
      <w:bookmarkEnd w:id="5"/>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89" w:lineRule="exact"/>
        <w:rPr>
          <w:sz w:val="20"/>
          <w:szCs w:val="20"/>
        </w:rPr>
      </w:pPr>
    </w:p>
    <w:p w:rsidR="009A7D3D" w:rsidRPr="005C021A" w:rsidRDefault="009A7D3D" w:rsidP="009A7D3D">
      <w:pPr>
        <w:ind w:right="-13"/>
        <w:jc w:val="center"/>
        <w:rPr>
          <w:sz w:val="20"/>
          <w:szCs w:val="20"/>
        </w:rPr>
      </w:pPr>
      <w:r w:rsidRPr="005C021A">
        <w:rPr>
          <w:rFonts w:eastAsia="Times New Roman"/>
          <w:b/>
          <w:bCs/>
        </w:rPr>
        <w:t>IV PRIEDAS</w:t>
      </w:r>
    </w:p>
    <w:p w:rsidR="009A7D3D" w:rsidRPr="005C021A" w:rsidRDefault="009A7D3D" w:rsidP="009A7D3D">
      <w:pPr>
        <w:spacing w:line="263" w:lineRule="exact"/>
        <w:rPr>
          <w:sz w:val="20"/>
          <w:szCs w:val="20"/>
        </w:rPr>
      </w:pPr>
    </w:p>
    <w:p w:rsidR="009A7D3D" w:rsidRPr="005C021A" w:rsidRDefault="009A7D3D" w:rsidP="009A7D3D">
      <w:pPr>
        <w:ind w:right="-13"/>
        <w:jc w:val="center"/>
        <w:rPr>
          <w:sz w:val="20"/>
          <w:szCs w:val="20"/>
        </w:rPr>
      </w:pPr>
      <w:r w:rsidRPr="005C021A">
        <w:rPr>
          <w:rFonts w:eastAsia="Times New Roman"/>
          <w:b/>
          <w:bCs/>
        </w:rPr>
        <w:t>EUROPOS VAISTŲ AGENTŪROS IŠVADOS DĖL SĄLYGINĖS REGISTRACIJOS</w:t>
      </w: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0" w:lineRule="exact"/>
        <w:rPr>
          <w:sz w:val="20"/>
          <w:szCs w:val="20"/>
        </w:rPr>
      </w:pPr>
    </w:p>
    <w:p w:rsidR="009A7D3D" w:rsidRPr="005C021A" w:rsidRDefault="009A7D3D" w:rsidP="009A7D3D">
      <w:pPr>
        <w:spacing w:line="203" w:lineRule="exact"/>
        <w:rPr>
          <w:sz w:val="20"/>
          <w:szCs w:val="20"/>
        </w:rPr>
      </w:pPr>
    </w:p>
    <w:p w:rsidR="009A7D3D" w:rsidRPr="005C021A" w:rsidRDefault="009A7D3D" w:rsidP="009A7D3D">
      <w:pPr>
        <w:ind w:right="86"/>
        <w:jc w:val="center"/>
        <w:rPr>
          <w:sz w:val="20"/>
          <w:szCs w:val="20"/>
        </w:rPr>
      </w:pPr>
      <w:r w:rsidRPr="005C021A">
        <w:rPr>
          <w:rFonts w:eastAsia="Arial"/>
          <w:sz w:val="16"/>
          <w:szCs w:val="16"/>
        </w:rPr>
        <w:t>30</w:t>
      </w:r>
    </w:p>
    <w:p w:rsidR="009A7D3D" w:rsidRPr="005C021A" w:rsidRDefault="009A7D3D" w:rsidP="009A7D3D">
      <w:pPr>
        <w:sectPr w:rsidR="009A7D3D" w:rsidRPr="005C021A">
          <w:pgSz w:w="11900" w:h="16841"/>
          <w:pgMar w:top="1440" w:right="1440" w:bottom="191" w:left="1440" w:header="0" w:footer="0" w:gutter="0"/>
          <w:cols w:space="720" w:equalWidth="0">
            <w:col w:w="9026"/>
          </w:cols>
        </w:sectPr>
      </w:pPr>
    </w:p>
    <w:p w:rsidR="009A7D3D" w:rsidRPr="005C021A" w:rsidRDefault="009A7D3D" w:rsidP="009A7D3D">
      <w:pPr>
        <w:rPr>
          <w:sz w:val="20"/>
          <w:szCs w:val="20"/>
        </w:rPr>
      </w:pPr>
      <w:bookmarkStart w:id="6" w:name="page31"/>
      <w:bookmarkEnd w:id="6"/>
      <w:r w:rsidRPr="005C021A">
        <w:rPr>
          <w:rFonts w:eastAsia="Times New Roman"/>
          <w:b/>
          <w:bCs/>
        </w:rPr>
        <w:t>Europos vaistų agentūros išvados dėl:</w:t>
      </w:r>
    </w:p>
    <w:p w:rsidR="009A7D3D" w:rsidRPr="005C021A" w:rsidRDefault="009A7D3D" w:rsidP="009A7D3D">
      <w:pPr>
        <w:spacing w:line="271" w:lineRule="exact"/>
        <w:rPr>
          <w:sz w:val="20"/>
          <w:szCs w:val="20"/>
        </w:rPr>
      </w:pPr>
    </w:p>
    <w:p w:rsidR="009A7D3D" w:rsidRPr="005C021A" w:rsidRDefault="009A7D3D" w:rsidP="009A7D3D">
      <w:pPr>
        <w:ind w:left="360"/>
        <w:rPr>
          <w:sz w:val="20"/>
          <w:szCs w:val="20"/>
        </w:rPr>
      </w:pPr>
      <w:r w:rsidRPr="005C021A">
        <w:rPr>
          <w:rFonts w:eastAsia="Times New Roman"/>
          <w:b/>
          <w:bCs/>
        </w:rPr>
        <w:t>Sąlyginės registracijos</w:t>
      </w:r>
    </w:p>
    <w:p w:rsidR="009A7D3D" w:rsidRPr="005C021A" w:rsidRDefault="009A7D3D" w:rsidP="009A7D3D">
      <w:pPr>
        <w:spacing w:line="255" w:lineRule="exact"/>
        <w:rPr>
          <w:sz w:val="20"/>
          <w:szCs w:val="20"/>
        </w:rPr>
      </w:pPr>
    </w:p>
    <w:p w:rsidR="009A7D3D" w:rsidRPr="005C021A" w:rsidRDefault="009A7D3D" w:rsidP="009A7D3D">
      <w:pPr>
        <w:spacing w:line="279" w:lineRule="auto"/>
        <w:ind w:right="406"/>
        <w:rPr>
          <w:sz w:val="20"/>
          <w:szCs w:val="20"/>
        </w:rPr>
      </w:pPr>
      <w:r w:rsidRPr="005C021A">
        <w:rPr>
          <w:rFonts w:eastAsia="Times New Roman"/>
        </w:rPr>
        <w:t xml:space="preserve">Išnagrinėjęs paraišką </w:t>
      </w:r>
      <w:r w:rsidRPr="005C021A">
        <w:rPr>
          <w:rFonts w:eastAsia="Times New Roman"/>
          <w:i/>
          <w:iCs/>
        </w:rPr>
        <w:t>CHMP</w:t>
      </w:r>
      <w:r w:rsidRPr="005C021A">
        <w:rPr>
          <w:rFonts w:eastAsia="Times New Roman"/>
        </w:rPr>
        <w:t xml:space="preserve"> nusprendė, kad, kaip išsamiau paaiškinta Europos viešame vertinimo protokole, rizikos ir naudos santykis yra palankus rekomenduoti sąlyginę registraciją.</w:t>
      </w:r>
    </w:p>
    <w:p w:rsidR="004036EF" w:rsidRDefault="004036EF"/>
    <w:sectPr w:rsidR="00403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084E9"/>
    <w:multiLevelType w:val="hybridMultilevel"/>
    <w:tmpl w:val="01F2165A"/>
    <w:lvl w:ilvl="0" w:tplc="E55A3CE8">
      <w:start w:val="6"/>
      <w:numFmt w:val="decimal"/>
      <w:lvlText w:val="%1."/>
      <w:lvlJc w:val="left"/>
    </w:lvl>
    <w:lvl w:ilvl="1" w:tplc="E3BC5ADC">
      <w:start w:val="1"/>
      <w:numFmt w:val="bullet"/>
      <w:lvlText w:val=" "/>
      <w:lvlJc w:val="left"/>
    </w:lvl>
    <w:lvl w:ilvl="2" w:tplc="24009610">
      <w:start w:val="1"/>
      <w:numFmt w:val="bullet"/>
      <w:lvlText w:val="*"/>
      <w:lvlJc w:val="left"/>
    </w:lvl>
    <w:lvl w:ilvl="3" w:tplc="8E6C5C56">
      <w:start w:val="1"/>
      <w:numFmt w:val="bullet"/>
      <w:lvlText w:val=" "/>
      <w:lvlJc w:val="left"/>
    </w:lvl>
    <w:lvl w:ilvl="4" w:tplc="CB5ABB10">
      <w:numFmt w:val="decimal"/>
      <w:lvlText w:val=""/>
      <w:lvlJc w:val="left"/>
    </w:lvl>
    <w:lvl w:ilvl="5" w:tplc="F0384342">
      <w:numFmt w:val="decimal"/>
      <w:lvlText w:val=""/>
      <w:lvlJc w:val="left"/>
    </w:lvl>
    <w:lvl w:ilvl="6" w:tplc="A4001AB6">
      <w:numFmt w:val="decimal"/>
      <w:lvlText w:val=""/>
      <w:lvlJc w:val="left"/>
    </w:lvl>
    <w:lvl w:ilvl="7" w:tplc="02525DA2">
      <w:numFmt w:val="decimal"/>
      <w:lvlText w:val=""/>
      <w:lvlJc w:val="left"/>
    </w:lvl>
    <w:lvl w:ilvl="8" w:tplc="98406204">
      <w:numFmt w:val="decimal"/>
      <w:lvlText w:val=""/>
      <w:lvlJc w:val="left"/>
    </w:lvl>
  </w:abstractNum>
  <w:abstractNum w:abstractNumId="1" w15:restartNumberingAfterBreak="0">
    <w:nsid w:val="77AE35EB"/>
    <w:multiLevelType w:val="hybridMultilevel"/>
    <w:tmpl w:val="A28441CC"/>
    <w:lvl w:ilvl="0" w:tplc="BBEE2AE2">
      <w:start w:val="1"/>
      <w:numFmt w:val="decimal"/>
      <w:lvlText w:val="%1."/>
      <w:lvlJc w:val="left"/>
    </w:lvl>
    <w:lvl w:ilvl="1" w:tplc="A3B86658">
      <w:numFmt w:val="decimal"/>
      <w:lvlText w:val=""/>
      <w:lvlJc w:val="left"/>
    </w:lvl>
    <w:lvl w:ilvl="2" w:tplc="AC5CCFFA">
      <w:numFmt w:val="decimal"/>
      <w:lvlText w:val=""/>
      <w:lvlJc w:val="left"/>
    </w:lvl>
    <w:lvl w:ilvl="3" w:tplc="4C9A4886">
      <w:numFmt w:val="decimal"/>
      <w:lvlText w:val=""/>
      <w:lvlJc w:val="left"/>
    </w:lvl>
    <w:lvl w:ilvl="4" w:tplc="8BD84D58">
      <w:numFmt w:val="decimal"/>
      <w:lvlText w:val=""/>
      <w:lvlJc w:val="left"/>
    </w:lvl>
    <w:lvl w:ilvl="5" w:tplc="77A200D4">
      <w:numFmt w:val="decimal"/>
      <w:lvlText w:val=""/>
      <w:lvlJc w:val="left"/>
    </w:lvl>
    <w:lvl w:ilvl="6" w:tplc="0A049D28">
      <w:numFmt w:val="decimal"/>
      <w:lvlText w:val=""/>
      <w:lvlJc w:val="left"/>
    </w:lvl>
    <w:lvl w:ilvl="7" w:tplc="702E0D3C">
      <w:numFmt w:val="decimal"/>
      <w:lvlText w:val=""/>
      <w:lvlJc w:val="left"/>
    </w:lvl>
    <w:lvl w:ilvl="8" w:tplc="04D25ECE">
      <w:numFmt w:val="decimal"/>
      <w:lvlText w:val=""/>
      <w:lvlJc w:val="left"/>
    </w:lvl>
  </w:abstractNum>
  <w:num w:numId="1" w16cid:durableId="593784894">
    <w:abstractNumId w:val="1"/>
  </w:num>
  <w:num w:numId="2" w16cid:durableId="1081214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3D"/>
    <w:rsid w:val="004036EF"/>
    <w:rsid w:val="009A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FCCAA-CC11-4FE2-B6F0-A14F7B33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10464</Characters>
  <Application>Microsoft Office Word</Application>
  <DocSecurity>0</DocSecurity>
  <Lines>87</Lines>
  <Paragraphs>24</Paragraphs>
  <ScaleCrop>false</ScaleCrop>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2022-05-16T11:53:00Z</dcterms:created>
  <dcterms:modified xsi:type="dcterms:W3CDTF">2022-05-16T11:53:00Z</dcterms:modified>
</cp:coreProperties>
</file>