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0CB" w:rsidRDefault="004570CB" w:rsidP="004570CB">
      <w:pPr>
        <w:ind w:left="2663"/>
        <w:rPr>
          <w:sz w:val="20"/>
          <w:szCs w:val="20"/>
        </w:rPr>
      </w:pPr>
      <w:r>
        <w:rPr>
          <w:rFonts w:eastAsia="Times New Roman"/>
          <w:b/>
          <w:bCs/>
        </w:rPr>
        <w:t>Pakuotės lapelis: informacija vartotojui</w:t>
      </w:r>
    </w:p>
    <w:p w:rsidR="004570CB" w:rsidRDefault="004570CB" w:rsidP="004570CB">
      <w:pPr>
        <w:spacing w:line="253" w:lineRule="exact"/>
        <w:rPr>
          <w:sz w:val="20"/>
          <w:szCs w:val="20"/>
        </w:rPr>
      </w:pPr>
    </w:p>
    <w:p w:rsidR="004570CB" w:rsidRDefault="004570CB" w:rsidP="004570CB">
      <w:pPr>
        <w:ind w:left="2163"/>
        <w:rPr>
          <w:sz w:val="20"/>
          <w:szCs w:val="20"/>
        </w:rPr>
      </w:pPr>
      <w:r>
        <w:rPr>
          <w:rFonts w:eastAsia="Times New Roman"/>
          <w:b/>
          <w:bCs/>
        </w:rPr>
        <w:t>Avastin 25 mg/ml koncentratas infuziniam tirpalui</w:t>
      </w:r>
    </w:p>
    <w:p w:rsidR="004570CB" w:rsidRDefault="004570CB" w:rsidP="004570CB">
      <w:pPr>
        <w:ind w:right="-16"/>
        <w:jc w:val="center"/>
        <w:rPr>
          <w:sz w:val="20"/>
          <w:szCs w:val="20"/>
        </w:rPr>
      </w:pPr>
      <w:r>
        <w:rPr>
          <w:rFonts w:eastAsia="Times New Roman"/>
        </w:rPr>
        <w:t>bevacizumabas</w:t>
      </w:r>
    </w:p>
    <w:p w:rsidR="004570CB" w:rsidRDefault="004570CB" w:rsidP="004570CB">
      <w:pPr>
        <w:spacing w:line="255" w:lineRule="exact"/>
        <w:rPr>
          <w:sz w:val="20"/>
          <w:szCs w:val="20"/>
        </w:rPr>
      </w:pPr>
    </w:p>
    <w:p w:rsidR="004570CB" w:rsidRDefault="004570CB" w:rsidP="004570CB">
      <w:pPr>
        <w:spacing w:line="238" w:lineRule="auto"/>
        <w:ind w:left="3" w:right="266"/>
        <w:rPr>
          <w:sz w:val="20"/>
          <w:szCs w:val="20"/>
        </w:rPr>
      </w:pPr>
      <w:r>
        <w:rPr>
          <w:rFonts w:eastAsia="Times New Roman"/>
          <w:b/>
          <w:bCs/>
        </w:rPr>
        <w:t>Atidžiai perskaitykite visą šį lapelį, prieš pradėdami vartoti vaistą, nes jame pateikiama Jums svarbi informacija.</w:t>
      </w:r>
    </w:p>
    <w:p w:rsidR="004570CB" w:rsidRDefault="004570CB" w:rsidP="004570CB">
      <w:pPr>
        <w:spacing w:line="1" w:lineRule="exact"/>
        <w:rPr>
          <w:sz w:val="20"/>
          <w:szCs w:val="20"/>
        </w:rPr>
      </w:pPr>
    </w:p>
    <w:p w:rsidR="004570CB" w:rsidRDefault="004570CB" w:rsidP="004570CB">
      <w:pPr>
        <w:numPr>
          <w:ilvl w:val="0"/>
          <w:numId w:val="1"/>
        </w:numPr>
        <w:tabs>
          <w:tab w:val="left" w:pos="563"/>
        </w:tabs>
        <w:ind w:left="563" w:hanging="562"/>
        <w:rPr>
          <w:rFonts w:eastAsia="Times New Roman"/>
        </w:rPr>
      </w:pPr>
      <w:r>
        <w:rPr>
          <w:rFonts w:eastAsia="Times New Roman"/>
        </w:rPr>
        <w:t>Neišmeskite šio lapelio, nes vėl gali prireikti jį perskaityti.</w:t>
      </w:r>
    </w:p>
    <w:p w:rsidR="004570CB" w:rsidRDefault="004570CB" w:rsidP="004570CB">
      <w:pPr>
        <w:spacing w:line="1" w:lineRule="exact"/>
        <w:rPr>
          <w:rFonts w:eastAsia="Times New Roman"/>
        </w:rPr>
      </w:pPr>
    </w:p>
    <w:p w:rsidR="004570CB" w:rsidRDefault="004570CB" w:rsidP="004570CB">
      <w:pPr>
        <w:numPr>
          <w:ilvl w:val="0"/>
          <w:numId w:val="1"/>
        </w:numPr>
        <w:tabs>
          <w:tab w:val="left" w:pos="563"/>
        </w:tabs>
        <w:ind w:left="563" w:hanging="562"/>
        <w:rPr>
          <w:rFonts w:eastAsia="Times New Roman"/>
        </w:rPr>
      </w:pPr>
      <w:r>
        <w:rPr>
          <w:rFonts w:eastAsia="Times New Roman"/>
        </w:rPr>
        <w:t>Jeigu kiltų daugiau klausimų, kreipkitės į gydytoją, vaistininką arba slaugytoją.</w:t>
      </w:r>
    </w:p>
    <w:p w:rsidR="004570CB" w:rsidRDefault="004570CB" w:rsidP="004570CB">
      <w:pPr>
        <w:spacing w:line="8" w:lineRule="exact"/>
        <w:rPr>
          <w:rFonts w:eastAsia="Times New Roman"/>
        </w:rPr>
      </w:pPr>
    </w:p>
    <w:p w:rsidR="004570CB" w:rsidRDefault="004570CB" w:rsidP="004570CB">
      <w:pPr>
        <w:numPr>
          <w:ilvl w:val="0"/>
          <w:numId w:val="1"/>
        </w:numPr>
        <w:tabs>
          <w:tab w:val="left" w:pos="543"/>
        </w:tabs>
        <w:spacing w:line="288" w:lineRule="auto"/>
        <w:ind w:left="543" w:right="86" w:hanging="542"/>
        <w:rPr>
          <w:rFonts w:eastAsia="Times New Roman"/>
        </w:rPr>
      </w:pPr>
      <w:r>
        <w:rPr>
          <w:rFonts w:eastAsia="Times New Roman"/>
        </w:rPr>
        <w:t>Jeigu pasireiškė šalutinis poveikis (net jei jis šiame lapelyje nenurodytas), kreipkitės į gydytoją, vaistininką arba slaugytoją. Žr. 4 skyrių.</w:t>
      </w:r>
    </w:p>
    <w:p w:rsidR="004570CB" w:rsidRDefault="004570CB" w:rsidP="004570CB">
      <w:pPr>
        <w:spacing w:line="157" w:lineRule="exact"/>
        <w:rPr>
          <w:sz w:val="20"/>
          <w:szCs w:val="20"/>
        </w:rPr>
      </w:pPr>
    </w:p>
    <w:p w:rsidR="004570CB" w:rsidRDefault="004570CB" w:rsidP="004570CB">
      <w:pPr>
        <w:ind w:left="3"/>
        <w:rPr>
          <w:sz w:val="20"/>
          <w:szCs w:val="20"/>
        </w:rPr>
      </w:pPr>
      <w:r>
        <w:rPr>
          <w:rFonts w:eastAsia="Times New Roman"/>
          <w:b/>
          <w:bCs/>
        </w:rPr>
        <w:t>Apie ką rašoma šiame lapelyje?</w:t>
      </w:r>
    </w:p>
    <w:p w:rsidR="004570CB" w:rsidRDefault="004570CB" w:rsidP="004570CB">
      <w:pPr>
        <w:spacing w:line="251" w:lineRule="exact"/>
        <w:rPr>
          <w:sz w:val="20"/>
          <w:szCs w:val="20"/>
        </w:rPr>
      </w:pPr>
    </w:p>
    <w:p w:rsidR="004570CB" w:rsidRDefault="004570CB" w:rsidP="004570CB">
      <w:pPr>
        <w:numPr>
          <w:ilvl w:val="0"/>
          <w:numId w:val="2"/>
        </w:numPr>
        <w:tabs>
          <w:tab w:val="left" w:pos="563"/>
        </w:tabs>
        <w:ind w:left="563" w:hanging="562"/>
        <w:rPr>
          <w:rFonts w:eastAsia="Times New Roman"/>
        </w:rPr>
      </w:pPr>
      <w:r>
        <w:rPr>
          <w:rFonts w:eastAsia="Times New Roman"/>
        </w:rPr>
        <w:t>Kas yra Avastin ir kam jis vartojamas</w:t>
      </w:r>
    </w:p>
    <w:p w:rsidR="004570CB" w:rsidRDefault="004570CB" w:rsidP="004570CB">
      <w:pPr>
        <w:numPr>
          <w:ilvl w:val="0"/>
          <w:numId w:val="2"/>
        </w:numPr>
        <w:tabs>
          <w:tab w:val="left" w:pos="563"/>
        </w:tabs>
        <w:ind w:left="563" w:hanging="563"/>
        <w:rPr>
          <w:rFonts w:eastAsia="Times New Roman"/>
        </w:rPr>
      </w:pPr>
      <w:r>
        <w:rPr>
          <w:rFonts w:eastAsia="Times New Roman"/>
        </w:rPr>
        <w:t>Kas žinotina prieš vartojant Avastin</w:t>
      </w:r>
    </w:p>
    <w:p w:rsidR="004570CB" w:rsidRDefault="004570CB" w:rsidP="004570CB">
      <w:pPr>
        <w:spacing w:line="1" w:lineRule="exact"/>
        <w:rPr>
          <w:rFonts w:eastAsia="Times New Roman"/>
        </w:rPr>
      </w:pPr>
    </w:p>
    <w:p w:rsidR="004570CB" w:rsidRDefault="004570CB" w:rsidP="004570CB">
      <w:pPr>
        <w:numPr>
          <w:ilvl w:val="0"/>
          <w:numId w:val="2"/>
        </w:numPr>
        <w:tabs>
          <w:tab w:val="left" w:pos="563"/>
        </w:tabs>
        <w:spacing w:line="239" w:lineRule="auto"/>
        <w:ind w:left="563" w:hanging="563"/>
        <w:rPr>
          <w:rFonts w:eastAsia="Times New Roman"/>
        </w:rPr>
      </w:pPr>
      <w:r>
        <w:rPr>
          <w:rFonts w:eastAsia="Times New Roman"/>
        </w:rPr>
        <w:t>Kaip vartoti Avastin</w:t>
      </w:r>
    </w:p>
    <w:p w:rsidR="004570CB" w:rsidRDefault="004570CB" w:rsidP="004570CB">
      <w:pPr>
        <w:numPr>
          <w:ilvl w:val="0"/>
          <w:numId w:val="2"/>
        </w:numPr>
        <w:tabs>
          <w:tab w:val="left" w:pos="563"/>
        </w:tabs>
        <w:ind w:left="563" w:hanging="563"/>
        <w:rPr>
          <w:rFonts w:eastAsia="Times New Roman"/>
        </w:rPr>
      </w:pPr>
      <w:r>
        <w:rPr>
          <w:rFonts w:eastAsia="Times New Roman"/>
        </w:rPr>
        <w:t>Galimas šalutinis poveikis</w:t>
      </w:r>
    </w:p>
    <w:p w:rsidR="004570CB" w:rsidRDefault="004570CB" w:rsidP="004570CB">
      <w:pPr>
        <w:spacing w:line="1" w:lineRule="exact"/>
        <w:rPr>
          <w:rFonts w:eastAsia="Times New Roman"/>
        </w:rPr>
      </w:pPr>
    </w:p>
    <w:p w:rsidR="004570CB" w:rsidRDefault="004570CB" w:rsidP="004570CB">
      <w:pPr>
        <w:numPr>
          <w:ilvl w:val="0"/>
          <w:numId w:val="2"/>
        </w:numPr>
        <w:tabs>
          <w:tab w:val="left" w:pos="563"/>
        </w:tabs>
        <w:spacing w:line="239" w:lineRule="auto"/>
        <w:ind w:left="563" w:hanging="563"/>
        <w:rPr>
          <w:rFonts w:eastAsia="Times New Roman"/>
        </w:rPr>
      </w:pPr>
      <w:r>
        <w:rPr>
          <w:rFonts w:eastAsia="Times New Roman"/>
        </w:rPr>
        <w:t>Kaip laikyti Avastin</w:t>
      </w:r>
    </w:p>
    <w:p w:rsidR="004570CB" w:rsidRDefault="004570CB" w:rsidP="004570CB">
      <w:pPr>
        <w:numPr>
          <w:ilvl w:val="0"/>
          <w:numId w:val="2"/>
        </w:numPr>
        <w:tabs>
          <w:tab w:val="left" w:pos="563"/>
        </w:tabs>
        <w:ind w:left="563" w:hanging="563"/>
        <w:rPr>
          <w:rFonts w:eastAsia="Times New Roman"/>
        </w:rPr>
      </w:pPr>
      <w:r>
        <w:rPr>
          <w:rFonts w:eastAsia="Times New Roman"/>
        </w:rPr>
        <w:t>Pakuotės turinys ir kita informacija</w:t>
      </w:r>
    </w:p>
    <w:p w:rsidR="004570CB" w:rsidRDefault="004570CB" w:rsidP="004570CB">
      <w:pPr>
        <w:spacing w:line="200" w:lineRule="exact"/>
        <w:rPr>
          <w:rFonts w:eastAsia="Times New Roman"/>
        </w:rPr>
      </w:pPr>
    </w:p>
    <w:p w:rsidR="004570CB" w:rsidRDefault="004570CB" w:rsidP="004570CB">
      <w:pPr>
        <w:spacing w:line="306" w:lineRule="exact"/>
        <w:rPr>
          <w:rFonts w:eastAsia="Times New Roman"/>
        </w:rPr>
      </w:pPr>
    </w:p>
    <w:p w:rsidR="004570CB" w:rsidRDefault="004570CB" w:rsidP="004570CB">
      <w:pPr>
        <w:numPr>
          <w:ilvl w:val="0"/>
          <w:numId w:val="3"/>
        </w:numPr>
        <w:tabs>
          <w:tab w:val="left" w:pos="563"/>
        </w:tabs>
        <w:ind w:left="563" w:hanging="563"/>
        <w:rPr>
          <w:rFonts w:eastAsia="Times New Roman"/>
          <w:b/>
          <w:bCs/>
        </w:rPr>
      </w:pPr>
      <w:r>
        <w:rPr>
          <w:rFonts w:eastAsia="Times New Roman"/>
          <w:b/>
          <w:bCs/>
        </w:rPr>
        <w:t>Kas yra Avastin ir kam jis vartojamas</w:t>
      </w:r>
    </w:p>
    <w:p w:rsidR="004570CB" w:rsidRDefault="004570CB" w:rsidP="004570CB">
      <w:pPr>
        <w:spacing w:line="252" w:lineRule="exact"/>
        <w:rPr>
          <w:sz w:val="20"/>
          <w:szCs w:val="20"/>
        </w:rPr>
      </w:pPr>
    </w:p>
    <w:p w:rsidR="004570CB" w:rsidRDefault="004570CB" w:rsidP="004570CB">
      <w:pPr>
        <w:spacing w:line="245" w:lineRule="auto"/>
        <w:ind w:left="3" w:right="46"/>
        <w:rPr>
          <w:sz w:val="20"/>
          <w:szCs w:val="20"/>
        </w:rPr>
      </w:pPr>
      <w:r>
        <w:rPr>
          <w:rFonts w:eastAsia="Times New Roman"/>
        </w:rPr>
        <w:t>Veiklioji Avastin medžiaga yra bevacizumabas, kuris yra humanizuotas monokloninis antikūnas (monokloniniai antikūnai – tai baltymai, kuriuos įprastai gamina imuninė sistema ir kurie padeda organizmui kovoti su infekcijomis bei piktybinėmis ligomis). Bevacizumabas išskirtinai jungiasi tik prie baltymo, vadinamojo žmogaus kraujagyslių endotelio augimo faktoriaus (KEAF), esančio ant vidinio kraujagyslių ir limfagyslių paviršiaus. KEAF baltymas skatina kraujagysles įaugti į naviko vidų – per šias kraujagysles į naviką patenka mitybinių medžiagų ir deguonies. Kai tik bevacizumabas prisijungia prie KEAF, sutrikdomas naviko augimas, nes kraujagyslių, aprūpinančių naviką mitybinėmis medžiagomis ir deguonimi, nebedaugėja.</w:t>
      </w:r>
    </w:p>
    <w:p w:rsidR="004570CB" w:rsidRDefault="004570CB" w:rsidP="004570CB">
      <w:pPr>
        <w:spacing w:line="211" w:lineRule="exact"/>
        <w:rPr>
          <w:sz w:val="20"/>
          <w:szCs w:val="20"/>
        </w:rPr>
      </w:pPr>
    </w:p>
    <w:p w:rsidR="004570CB" w:rsidRDefault="004570CB" w:rsidP="004570CB">
      <w:pPr>
        <w:spacing w:line="260" w:lineRule="auto"/>
        <w:ind w:left="3" w:right="26"/>
        <w:rPr>
          <w:sz w:val="20"/>
          <w:szCs w:val="20"/>
        </w:rPr>
      </w:pPr>
      <w:r>
        <w:rPr>
          <w:rFonts w:eastAsia="Times New Roman"/>
        </w:rPr>
        <w:t>Avastin - tai vaistas, kuriuo gydomi suaugę pacientai, sergantys progresavusiu storosios, t.y. gaubtinės arba tiesiosios, žarnos vėžiu. Avastin preparatu bus gydoma kartu su chemoterapiniais vaistais, turinčių fluoropirimidino darinių.</w:t>
      </w:r>
    </w:p>
    <w:p w:rsidR="004570CB" w:rsidRDefault="004570CB" w:rsidP="004570CB">
      <w:pPr>
        <w:spacing w:line="188" w:lineRule="exact"/>
        <w:rPr>
          <w:sz w:val="20"/>
          <w:szCs w:val="20"/>
        </w:rPr>
      </w:pPr>
    </w:p>
    <w:p w:rsidR="004570CB" w:rsidRDefault="004570CB" w:rsidP="004570CB">
      <w:pPr>
        <w:spacing w:line="260" w:lineRule="auto"/>
        <w:ind w:left="3" w:right="646"/>
        <w:rPr>
          <w:sz w:val="20"/>
          <w:szCs w:val="20"/>
        </w:rPr>
      </w:pPr>
      <w:r>
        <w:rPr>
          <w:rFonts w:eastAsia="Times New Roman"/>
        </w:rPr>
        <w:lastRenderedPageBreak/>
        <w:t>Avastin taip pat vartojama suaugusiems pacientams metastazavusiam krūties vėžiui gydyti. Kai Avastin vartojama pacientams, kurie serga krūties vėžiu, gydyti, jo bus vartojama kartu su chemoterapiniu vaistiniu preparatu paklitakseliu arba kapecitabinu.</w:t>
      </w:r>
    </w:p>
    <w:p w:rsidR="004570CB" w:rsidRDefault="004570CB" w:rsidP="004570CB">
      <w:pPr>
        <w:spacing w:line="190" w:lineRule="exact"/>
        <w:rPr>
          <w:sz w:val="20"/>
          <w:szCs w:val="20"/>
        </w:rPr>
      </w:pPr>
    </w:p>
    <w:p w:rsidR="004570CB" w:rsidRDefault="004570CB" w:rsidP="004570CB">
      <w:pPr>
        <w:spacing w:line="260" w:lineRule="auto"/>
        <w:ind w:left="3" w:right="426"/>
        <w:rPr>
          <w:sz w:val="20"/>
          <w:szCs w:val="20"/>
        </w:rPr>
      </w:pPr>
      <w:r>
        <w:rPr>
          <w:rFonts w:eastAsia="Times New Roman"/>
        </w:rPr>
        <w:t>Avastin taip pat vartojama suaugusiems pacientams progresavusiam nesmulkialąsteliniam plaučių vėžiui gydyti. Avastin bus vartojama kartu su kitais chemoterapiniais vaistais, kurių sudėtyje yra platinos darinių.</w:t>
      </w:r>
    </w:p>
    <w:p w:rsidR="004570CB" w:rsidRDefault="004570CB" w:rsidP="004570CB">
      <w:pPr>
        <w:spacing w:line="190" w:lineRule="exact"/>
        <w:rPr>
          <w:sz w:val="20"/>
          <w:szCs w:val="20"/>
        </w:rPr>
      </w:pPr>
    </w:p>
    <w:p w:rsidR="004570CB" w:rsidRDefault="004570CB" w:rsidP="004570CB">
      <w:pPr>
        <w:spacing w:line="260" w:lineRule="auto"/>
        <w:ind w:left="3" w:right="26"/>
        <w:rPr>
          <w:sz w:val="20"/>
          <w:szCs w:val="20"/>
        </w:rPr>
      </w:pPr>
      <w:r>
        <w:rPr>
          <w:rFonts w:eastAsia="Times New Roman"/>
        </w:rPr>
        <w:t>Avastin taip pat vartojama suaugusiems pacientams progresavusiam nesmulkialąsteliniam plaučių vėžiui gydyti, kai vėžio ląstelėse nustatoma specifinių tam tikro baltymo, vadinamo epidermio augimo faktoriaus receptoriumi (EAFR), mutacijų. Avastin bus vartojama kartu su erlotinibu.</w:t>
      </w:r>
    </w:p>
    <w:p w:rsidR="004570CB" w:rsidRDefault="004570CB" w:rsidP="004570CB">
      <w:pPr>
        <w:spacing w:line="188" w:lineRule="exact"/>
        <w:rPr>
          <w:sz w:val="20"/>
          <w:szCs w:val="20"/>
        </w:rPr>
      </w:pPr>
    </w:p>
    <w:p w:rsidR="004570CB" w:rsidRDefault="004570CB" w:rsidP="004570CB">
      <w:pPr>
        <w:spacing w:line="306" w:lineRule="auto"/>
        <w:ind w:left="3" w:right="86"/>
        <w:rPr>
          <w:sz w:val="20"/>
          <w:szCs w:val="20"/>
        </w:rPr>
      </w:pPr>
      <w:r>
        <w:rPr>
          <w:rFonts w:eastAsia="Times New Roman"/>
          <w:sz w:val="21"/>
          <w:szCs w:val="21"/>
        </w:rPr>
        <w:t>Avastin taip pat vartojama suaugusiems pacientams progresavusiam inkstų vėžiui gydyti. Pacientams, kurie serga inkstų vėžiu, gydyti jo bus vartojama kartu su kito tipo vaistu, vadinamuoju interferonu.</w:t>
      </w:r>
    </w:p>
    <w:p w:rsidR="004570CB" w:rsidRDefault="004570CB" w:rsidP="004570CB">
      <w:pPr>
        <w:spacing w:line="145" w:lineRule="exact"/>
        <w:rPr>
          <w:sz w:val="20"/>
          <w:szCs w:val="20"/>
        </w:rPr>
      </w:pPr>
    </w:p>
    <w:p w:rsidR="004570CB" w:rsidRDefault="004570CB" w:rsidP="004570CB">
      <w:pPr>
        <w:spacing w:line="253" w:lineRule="auto"/>
        <w:ind w:left="3" w:right="106"/>
        <w:rPr>
          <w:sz w:val="20"/>
          <w:szCs w:val="20"/>
        </w:rPr>
      </w:pPr>
      <w:r>
        <w:rPr>
          <w:rFonts w:eastAsia="Times New Roman"/>
        </w:rPr>
        <w:t>Avastin taip pat vartojama progresavusiu epiteliniu kiaušidžių, kiaušintakių arba pirminiu pilvaplėvės vėžiu sergančioms suaugusioms pacientėms gydyti. Pacientėms, kurios serga epiteliniu kiaušidžių, kiaušintakių arba pirminiu pilvaplėvės vėžiu, gydyti, jo vartojama kartu su karboplatina ir paklitakseliu.</w:t>
      </w:r>
    </w:p>
    <w:p w:rsidR="004570CB" w:rsidRDefault="004570CB" w:rsidP="004570CB">
      <w:pPr>
        <w:sectPr w:rsidR="004570CB">
          <w:pgSz w:w="11900" w:h="16838"/>
          <w:pgMar w:top="1103" w:right="1440" w:bottom="192" w:left="1417" w:header="0" w:footer="0" w:gutter="0"/>
          <w:cols w:space="720" w:equalWidth="0">
            <w:col w:w="9050"/>
          </w:cols>
        </w:sectPr>
      </w:pPr>
    </w:p>
    <w:p w:rsidR="004570CB" w:rsidRDefault="004570CB" w:rsidP="004570CB">
      <w:pPr>
        <w:spacing w:line="200" w:lineRule="exact"/>
        <w:rPr>
          <w:sz w:val="20"/>
          <w:szCs w:val="20"/>
        </w:rPr>
      </w:pPr>
    </w:p>
    <w:p w:rsidR="004570CB" w:rsidRDefault="004570CB" w:rsidP="004570CB">
      <w:pPr>
        <w:spacing w:line="360" w:lineRule="exact"/>
        <w:rPr>
          <w:sz w:val="20"/>
          <w:szCs w:val="20"/>
        </w:rPr>
      </w:pPr>
    </w:p>
    <w:p w:rsidR="004570CB" w:rsidRDefault="004570CB" w:rsidP="004570CB">
      <w:pPr>
        <w:ind w:right="343"/>
        <w:jc w:val="center"/>
        <w:rPr>
          <w:sz w:val="20"/>
          <w:szCs w:val="20"/>
        </w:rPr>
      </w:pPr>
      <w:r>
        <w:rPr>
          <w:rFonts w:ascii="Arial" w:eastAsia="Arial" w:hAnsi="Arial" w:cs="Arial"/>
          <w:sz w:val="16"/>
          <w:szCs w:val="16"/>
        </w:rPr>
        <w:t>71</w:t>
      </w:r>
    </w:p>
    <w:p w:rsidR="004570CB" w:rsidRDefault="004570CB" w:rsidP="004570CB">
      <w:pPr>
        <w:sectPr w:rsidR="004570CB">
          <w:type w:val="continuous"/>
          <w:pgSz w:w="11900" w:h="16838"/>
          <w:pgMar w:top="1103" w:right="1440" w:bottom="192" w:left="1417" w:header="0" w:footer="0" w:gutter="0"/>
          <w:cols w:space="720" w:equalWidth="0">
            <w:col w:w="9050"/>
          </w:cols>
        </w:sectPr>
      </w:pPr>
    </w:p>
    <w:p w:rsidR="004570CB" w:rsidRDefault="004570CB" w:rsidP="004570CB">
      <w:pPr>
        <w:spacing w:line="251" w:lineRule="auto"/>
        <w:ind w:left="2" w:right="640"/>
        <w:rPr>
          <w:sz w:val="20"/>
          <w:szCs w:val="20"/>
        </w:rPr>
      </w:pPr>
      <w:bookmarkStart w:id="0" w:name="page72"/>
      <w:bookmarkEnd w:id="0"/>
      <w:r>
        <w:rPr>
          <w:rFonts w:eastAsia="Times New Roman"/>
          <w:sz w:val="21"/>
          <w:szCs w:val="21"/>
        </w:rPr>
        <w:lastRenderedPageBreak/>
        <w:t>Jeigu vaisto skiriama toms suaugusioms pacientėms, kurioms nustatytas progresavęs epitelinis kiaušidžių, kiaušintakių arba pirminis pilvaplėvės vėžys ir kurioms liga atsinaujino praėjus bent</w:t>
      </w:r>
    </w:p>
    <w:p w:rsidR="004570CB" w:rsidRDefault="004570CB" w:rsidP="004570CB">
      <w:pPr>
        <w:spacing w:line="1" w:lineRule="exact"/>
        <w:rPr>
          <w:sz w:val="20"/>
          <w:szCs w:val="20"/>
        </w:rPr>
      </w:pPr>
    </w:p>
    <w:p w:rsidR="004570CB" w:rsidRDefault="004570CB" w:rsidP="004570CB">
      <w:pPr>
        <w:spacing w:line="260" w:lineRule="auto"/>
        <w:ind w:left="2" w:right="400"/>
        <w:rPr>
          <w:sz w:val="20"/>
          <w:szCs w:val="20"/>
        </w:rPr>
      </w:pPr>
      <w:r>
        <w:rPr>
          <w:rFonts w:eastAsia="Times New Roman"/>
        </w:rPr>
        <w:t>6 mėnesiams po paskutiniojo gydymo chemoterapiniais preparatais, kurių sudėtyje buvo platinos preparato, Avastin bus skiriamas kartu su karboplatina ir gemcitabinu arba kartu su karboplatina ir paklitakseliu.</w:t>
      </w:r>
    </w:p>
    <w:p w:rsidR="004570CB" w:rsidRDefault="004570CB" w:rsidP="004570CB">
      <w:pPr>
        <w:spacing w:line="190" w:lineRule="exact"/>
        <w:rPr>
          <w:sz w:val="20"/>
          <w:szCs w:val="20"/>
        </w:rPr>
      </w:pPr>
    </w:p>
    <w:p w:rsidR="004570CB" w:rsidRDefault="004570CB" w:rsidP="004570CB">
      <w:pPr>
        <w:spacing w:line="250" w:lineRule="auto"/>
        <w:ind w:left="2" w:right="60"/>
        <w:rPr>
          <w:sz w:val="20"/>
          <w:szCs w:val="20"/>
        </w:rPr>
      </w:pPr>
      <w:r>
        <w:rPr>
          <w:rFonts w:eastAsia="Times New Roman"/>
        </w:rPr>
        <w:t>Jeigu vaisto skiriama toms suaugusioms pacientėms, kurioms nustatytas progresavęs epitelinis kiaušidžių, kiaušintakių arba pirminis pilvaplėvės vėžys ir kurioms liga atsinaujino praėjus mažiau nei 6 mėnesiams po paskutiniojo gydymo chemoterapiniais preparatais, kurių sudėtyje buvo platinos preparato, Avastin bus skiriamas kartu su paklitakseliu, topotekanu arba pegiliuotu liposominiu doksorubicinu.</w:t>
      </w:r>
    </w:p>
    <w:p w:rsidR="004570CB" w:rsidRDefault="004570CB" w:rsidP="004570CB">
      <w:pPr>
        <w:spacing w:line="199" w:lineRule="exact"/>
        <w:rPr>
          <w:sz w:val="20"/>
          <w:szCs w:val="20"/>
        </w:rPr>
      </w:pPr>
    </w:p>
    <w:p w:rsidR="004570CB" w:rsidRDefault="004570CB" w:rsidP="004570CB">
      <w:pPr>
        <w:spacing w:line="254" w:lineRule="auto"/>
        <w:ind w:left="2" w:right="120"/>
        <w:rPr>
          <w:sz w:val="20"/>
          <w:szCs w:val="20"/>
        </w:rPr>
      </w:pPr>
      <w:r>
        <w:rPr>
          <w:rFonts w:eastAsia="Times New Roman"/>
        </w:rPr>
        <w:t>Avastin taip pat vartojama persistuojančiu, recidyvavusiu ar metastazavusiu gimdos kaklelio vėžiu sergančioms suaugusioms pacientėms gydyti. Avastin bus skiriama kartu su paklitakseliu ir cisplatina arba alternatyviai kartu su paklitakseliu ir topotekanu toms pacientėms, kurioms negalima vartoti platinos preparatų.</w:t>
      </w:r>
    </w:p>
    <w:p w:rsidR="004570CB" w:rsidRDefault="004570CB" w:rsidP="004570CB">
      <w:pPr>
        <w:spacing w:line="200" w:lineRule="exact"/>
        <w:rPr>
          <w:sz w:val="20"/>
          <w:szCs w:val="20"/>
        </w:rPr>
      </w:pPr>
    </w:p>
    <w:p w:rsidR="004570CB" w:rsidRDefault="004570CB" w:rsidP="004570CB">
      <w:pPr>
        <w:spacing w:line="249" w:lineRule="exact"/>
        <w:rPr>
          <w:sz w:val="20"/>
          <w:szCs w:val="20"/>
        </w:rPr>
      </w:pPr>
    </w:p>
    <w:p w:rsidR="004570CB" w:rsidRDefault="004570CB" w:rsidP="004570CB">
      <w:pPr>
        <w:numPr>
          <w:ilvl w:val="0"/>
          <w:numId w:val="4"/>
        </w:numPr>
        <w:tabs>
          <w:tab w:val="left" w:pos="562"/>
        </w:tabs>
        <w:ind w:left="562" w:hanging="561"/>
        <w:rPr>
          <w:rFonts w:eastAsia="Times New Roman"/>
          <w:b/>
          <w:bCs/>
        </w:rPr>
      </w:pPr>
      <w:r>
        <w:rPr>
          <w:rFonts w:eastAsia="Times New Roman"/>
          <w:b/>
          <w:bCs/>
        </w:rPr>
        <w:t>Kas žinotina prieš vartojant Avastin</w:t>
      </w:r>
    </w:p>
    <w:p w:rsidR="004570CB" w:rsidRDefault="004570CB" w:rsidP="004570CB">
      <w:pPr>
        <w:spacing w:line="251" w:lineRule="exact"/>
        <w:rPr>
          <w:sz w:val="20"/>
          <w:szCs w:val="20"/>
        </w:rPr>
      </w:pPr>
    </w:p>
    <w:p w:rsidR="004570CB" w:rsidRDefault="004570CB" w:rsidP="004570CB">
      <w:pPr>
        <w:ind w:left="2"/>
        <w:rPr>
          <w:sz w:val="20"/>
          <w:szCs w:val="20"/>
        </w:rPr>
      </w:pPr>
      <w:r>
        <w:rPr>
          <w:rFonts w:eastAsia="Times New Roman"/>
          <w:b/>
          <w:bCs/>
        </w:rPr>
        <w:t>Avastin vartoti negalima</w:t>
      </w:r>
    </w:p>
    <w:p w:rsidR="004570CB" w:rsidRDefault="004570CB" w:rsidP="004570CB">
      <w:pPr>
        <w:numPr>
          <w:ilvl w:val="0"/>
          <w:numId w:val="5"/>
        </w:numPr>
        <w:tabs>
          <w:tab w:val="left" w:pos="562"/>
        </w:tabs>
        <w:ind w:left="562" w:right="460" w:hanging="561"/>
        <w:rPr>
          <w:rFonts w:eastAsia="Times New Roman"/>
        </w:rPr>
      </w:pPr>
      <w:r>
        <w:rPr>
          <w:rFonts w:eastAsia="Times New Roman"/>
        </w:rPr>
        <w:t>jeigu yra alergija (padidėjęs jautrumas) bevacizumabui arba bet kuriai pagalbinei šio vaisto medžiagai (jos išvardytos 6 skyriuje);</w:t>
      </w:r>
    </w:p>
    <w:p w:rsidR="004570CB" w:rsidRDefault="004570CB" w:rsidP="004570CB">
      <w:pPr>
        <w:numPr>
          <w:ilvl w:val="0"/>
          <w:numId w:val="5"/>
        </w:numPr>
        <w:tabs>
          <w:tab w:val="left" w:pos="562"/>
        </w:tabs>
        <w:ind w:left="562" w:right="140" w:hanging="561"/>
        <w:rPr>
          <w:rFonts w:eastAsia="Times New Roman"/>
        </w:rPr>
      </w:pPr>
      <w:r>
        <w:rPr>
          <w:rFonts w:eastAsia="Times New Roman"/>
        </w:rPr>
        <w:t>jeigu yra alergija (padidėjęs jautrumas) kininio žiurkėno kiaušidžių (KŽK) ląstelių produktams arba kitiems rekombinaciniams žmogaus arba humanizuotiems antikūnams;</w:t>
      </w:r>
    </w:p>
    <w:p w:rsidR="004570CB" w:rsidRDefault="004570CB" w:rsidP="004570CB">
      <w:pPr>
        <w:numPr>
          <w:ilvl w:val="0"/>
          <w:numId w:val="5"/>
        </w:numPr>
        <w:tabs>
          <w:tab w:val="left" w:pos="562"/>
        </w:tabs>
        <w:ind w:left="562" w:hanging="562"/>
        <w:rPr>
          <w:rFonts w:eastAsia="Times New Roman"/>
        </w:rPr>
      </w:pPr>
      <w:r>
        <w:rPr>
          <w:rFonts w:eastAsia="Times New Roman"/>
        </w:rPr>
        <w:t>jeigu esate nėščia.</w:t>
      </w:r>
    </w:p>
    <w:p w:rsidR="004570CB" w:rsidRDefault="004570CB" w:rsidP="004570CB">
      <w:pPr>
        <w:spacing w:line="252" w:lineRule="exact"/>
        <w:rPr>
          <w:sz w:val="20"/>
          <w:szCs w:val="20"/>
        </w:rPr>
      </w:pPr>
    </w:p>
    <w:p w:rsidR="004570CB" w:rsidRDefault="004570CB" w:rsidP="004570CB">
      <w:pPr>
        <w:ind w:left="2"/>
        <w:rPr>
          <w:sz w:val="20"/>
          <w:szCs w:val="20"/>
        </w:rPr>
      </w:pPr>
      <w:r>
        <w:rPr>
          <w:rFonts w:eastAsia="Times New Roman"/>
          <w:b/>
          <w:bCs/>
        </w:rPr>
        <w:t>Įspėjimai ir atsargumo priemonės</w:t>
      </w:r>
    </w:p>
    <w:p w:rsidR="004570CB" w:rsidRDefault="004570CB" w:rsidP="004570CB">
      <w:pPr>
        <w:ind w:left="2"/>
        <w:rPr>
          <w:sz w:val="20"/>
          <w:szCs w:val="20"/>
        </w:rPr>
      </w:pPr>
      <w:r>
        <w:rPr>
          <w:rFonts w:eastAsia="Times New Roman"/>
        </w:rPr>
        <w:t>Pasitarkite su gydytoju, vaistininku arba slaugytoju, prieš pradėdami vartoti Avastin.</w:t>
      </w:r>
    </w:p>
    <w:p w:rsidR="004570CB" w:rsidRDefault="004570CB" w:rsidP="004570CB">
      <w:pPr>
        <w:spacing w:line="253" w:lineRule="exact"/>
        <w:rPr>
          <w:sz w:val="20"/>
          <w:szCs w:val="20"/>
        </w:rPr>
      </w:pPr>
    </w:p>
    <w:p w:rsidR="004570CB" w:rsidRDefault="004570CB" w:rsidP="004570CB">
      <w:pPr>
        <w:numPr>
          <w:ilvl w:val="0"/>
          <w:numId w:val="6"/>
        </w:numPr>
        <w:tabs>
          <w:tab w:val="left" w:pos="562"/>
        </w:tabs>
        <w:spacing w:line="260" w:lineRule="auto"/>
        <w:ind w:left="562" w:right="520" w:hanging="562"/>
        <w:jc w:val="both"/>
        <w:rPr>
          <w:rFonts w:eastAsia="Times New Roman"/>
        </w:rPr>
      </w:pPr>
      <w:r>
        <w:rPr>
          <w:rFonts w:eastAsia="Times New Roman"/>
        </w:rPr>
        <w:t>Avastin vartojimas gali didinti pavojų prakiurti žarnų sienelėms. Jeigu Jūs sergate ligomis, sukeliančiomis pilvo ertmės organų uždegimą (pvz., yra divertikulitas, skrandžio opos, su chemoterapija susijęs storosios žarnos uždegimas), aptarkite tai su gydytoju.</w:t>
      </w:r>
    </w:p>
    <w:p w:rsidR="004570CB" w:rsidRDefault="004570CB" w:rsidP="004570CB">
      <w:pPr>
        <w:spacing w:line="187" w:lineRule="exact"/>
        <w:rPr>
          <w:rFonts w:eastAsia="Times New Roman"/>
        </w:rPr>
      </w:pPr>
    </w:p>
    <w:p w:rsidR="004570CB" w:rsidRDefault="004570CB" w:rsidP="004570CB">
      <w:pPr>
        <w:numPr>
          <w:ilvl w:val="0"/>
          <w:numId w:val="6"/>
        </w:numPr>
        <w:tabs>
          <w:tab w:val="left" w:pos="562"/>
        </w:tabs>
        <w:spacing w:line="254" w:lineRule="auto"/>
        <w:ind w:left="562" w:hanging="562"/>
        <w:rPr>
          <w:rFonts w:eastAsia="Times New Roman"/>
        </w:rPr>
      </w:pPr>
      <w:r>
        <w:rPr>
          <w:rFonts w:eastAsia="Times New Roman"/>
        </w:rPr>
        <w:t>Avastin vartojimas gali didinti pavojų susidaryti nenormalioms jungtims ar kanalams tarp dviejų organų ar kraujagyslių. Persistuojančiu, recidyvavusiu ar metastazavusiu gimdos kaklelio vėžiu sergančioms pacientėms gali padidėti nenormalių jungčių tarp makšties ir kurios nors žarnyno dalies atsiradimo rizika.</w:t>
      </w:r>
    </w:p>
    <w:p w:rsidR="004570CB" w:rsidRDefault="004570CB" w:rsidP="004570CB">
      <w:pPr>
        <w:spacing w:line="193" w:lineRule="exact"/>
        <w:rPr>
          <w:rFonts w:eastAsia="Times New Roman"/>
        </w:rPr>
      </w:pPr>
    </w:p>
    <w:p w:rsidR="004570CB" w:rsidRDefault="004570CB" w:rsidP="004570CB">
      <w:pPr>
        <w:numPr>
          <w:ilvl w:val="0"/>
          <w:numId w:val="6"/>
        </w:numPr>
        <w:tabs>
          <w:tab w:val="left" w:pos="562"/>
        </w:tabs>
        <w:spacing w:line="260" w:lineRule="auto"/>
        <w:ind w:left="562" w:right="320" w:hanging="562"/>
        <w:rPr>
          <w:rFonts w:eastAsia="Times New Roman"/>
        </w:rPr>
      </w:pPr>
      <w:r>
        <w:rPr>
          <w:rFonts w:eastAsia="Times New Roman"/>
        </w:rPr>
        <w:t>Šis vaistas gali didinti pooperacinio kraujavimo pavojų arba trikdyti žaizdos gijimą po operacijos. Šio vaisto turite nevartoti, jeigu Jus rengiamasi operuoti, jeigu Jūs per pastarąsias 28 dienas turėjote didesnę operaciją arba Jums po operacijos dar neužgijo žaizda.</w:t>
      </w:r>
    </w:p>
    <w:p w:rsidR="004570CB" w:rsidRDefault="004570CB" w:rsidP="004570CB">
      <w:pPr>
        <w:spacing w:line="190" w:lineRule="exact"/>
        <w:rPr>
          <w:rFonts w:eastAsia="Times New Roman"/>
        </w:rPr>
      </w:pPr>
    </w:p>
    <w:p w:rsidR="004570CB" w:rsidRDefault="004570CB" w:rsidP="004570CB">
      <w:pPr>
        <w:numPr>
          <w:ilvl w:val="0"/>
          <w:numId w:val="6"/>
        </w:numPr>
        <w:tabs>
          <w:tab w:val="left" w:pos="562"/>
        </w:tabs>
        <w:spacing w:line="279" w:lineRule="auto"/>
        <w:ind w:left="562" w:right="160" w:hanging="562"/>
        <w:rPr>
          <w:rFonts w:eastAsia="Times New Roman"/>
        </w:rPr>
      </w:pPr>
      <w:r>
        <w:rPr>
          <w:rFonts w:eastAsia="Times New Roman"/>
        </w:rPr>
        <w:t>Avastin vartojimas gali didinti pavojų atsirasti sunkioms odos ir poodinio audinio infekcijoms, ypatingai tais atvejais, jeigu Jums yra žarnų sienelės prakiurimas ar sutrikęs žaizdų gijimas.</w:t>
      </w:r>
    </w:p>
    <w:p w:rsidR="004570CB" w:rsidRDefault="004570CB" w:rsidP="004570CB">
      <w:pPr>
        <w:spacing w:line="170" w:lineRule="exact"/>
        <w:rPr>
          <w:rFonts w:eastAsia="Times New Roman"/>
        </w:rPr>
      </w:pPr>
    </w:p>
    <w:p w:rsidR="004570CB" w:rsidRDefault="004570CB" w:rsidP="004570CB">
      <w:pPr>
        <w:numPr>
          <w:ilvl w:val="0"/>
          <w:numId w:val="6"/>
        </w:numPr>
        <w:tabs>
          <w:tab w:val="left" w:pos="562"/>
        </w:tabs>
        <w:spacing w:line="253" w:lineRule="auto"/>
        <w:ind w:left="562" w:right="60" w:hanging="562"/>
        <w:rPr>
          <w:rFonts w:eastAsia="Times New Roman"/>
        </w:rPr>
      </w:pPr>
      <w:r>
        <w:rPr>
          <w:rFonts w:eastAsia="Times New Roman"/>
        </w:rPr>
        <w:t>Avastin vartojimas gali didinti pavojų, kad padidės kraujospūdis. Jeigu turite padidėjusį kraujospūdį, kuris nepakankamai kontroliuojamas padidėjusį kraujospūdį mažinančiais vaistais, pasitarkite su gydytoju, nes svarbu įsitikinti, jog prieš pradedant vartoti Avastin Jūsų kraujospūdis yra kontroliuojamas.</w:t>
      </w:r>
    </w:p>
    <w:p w:rsidR="004570CB" w:rsidRDefault="004570CB" w:rsidP="004570CB">
      <w:pPr>
        <w:spacing w:line="197" w:lineRule="exact"/>
        <w:rPr>
          <w:rFonts w:eastAsia="Times New Roman"/>
        </w:rPr>
      </w:pPr>
    </w:p>
    <w:p w:rsidR="004570CB" w:rsidRDefault="004570CB" w:rsidP="004570CB">
      <w:pPr>
        <w:numPr>
          <w:ilvl w:val="0"/>
          <w:numId w:val="6"/>
        </w:numPr>
        <w:tabs>
          <w:tab w:val="left" w:pos="562"/>
        </w:tabs>
        <w:spacing w:line="281" w:lineRule="auto"/>
        <w:ind w:left="562" w:right="780" w:hanging="562"/>
        <w:rPr>
          <w:rFonts w:eastAsia="Times New Roman"/>
        </w:rPr>
      </w:pPr>
      <w:r>
        <w:rPr>
          <w:rFonts w:eastAsia="Times New Roman"/>
        </w:rPr>
        <w:t>Jeigu Jums šiuo metu arba praeityje buvo diagnozuota aneurizma (kraujagyslės sienelės išsipūtimas ir susilpnėjimas) arba kraujagyslės sienelės įplyšimas.</w:t>
      </w:r>
    </w:p>
    <w:p w:rsidR="004570CB" w:rsidRDefault="004570CB" w:rsidP="004570CB">
      <w:pPr>
        <w:spacing w:line="168" w:lineRule="exact"/>
        <w:rPr>
          <w:rFonts w:eastAsia="Times New Roman"/>
        </w:rPr>
      </w:pPr>
    </w:p>
    <w:p w:rsidR="004570CB" w:rsidRDefault="004570CB" w:rsidP="004570CB">
      <w:pPr>
        <w:numPr>
          <w:ilvl w:val="0"/>
          <w:numId w:val="6"/>
        </w:numPr>
        <w:tabs>
          <w:tab w:val="left" w:pos="562"/>
        </w:tabs>
        <w:spacing w:line="279" w:lineRule="auto"/>
        <w:ind w:left="562" w:right="60" w:hanging="562"/>
        <w:rPr>
          <w:rFonts w:eastAsia="Times New Roman"/>
        </w:rPr>
      </w:pPr>
      <w:r>
        <w:rPr>
          <w:rFonts w:eastAsia="Times New Roman"/>
        </w:rPr>
        <w:t>Šis vaistas gali didinti baltymų išsiskyrimo su šlapimu pavojų, ypatingai tuomet, jeigu jau turite padidėjusį kraujospūdį.</w:t>
      </w:r>
    </w:p>
    <w:p w:rsidR="004570CB" w:rsidRDefault="004570CB" w:rsidP="004570CB">
      <w:pPr>
        <w:sectPr w:rsidR="004570CB">
          <w:pgSz w:w="11900" w:h="16838"/>
          <w:pgMar w:top="1102" w:right="1426" w:bottom="192" w:left="1418" w:header="0" w:footer="0" w:gutter="0"/>
          <w:cols w:space="720" w:equalWidth="0">
            <w:col w:w="9062"/>
          </w:cols>
        </w:sectPr>
      </w:pPr>
    </w:p>
    <w:p w:rsidR="004570CB" w:rsidRDefault="004570CB" w:rsidP="004570CB">
      <w:pPr>
        <w:spacing w:line="200" w:lineRule="exact"/>
        <w:rPr>
          <w:sz w:val="20"/>
          <w:szCs w:val="20"/>
        </w:rPr>
      </w:pPr>
    </w:p>
    <w:p w:rsidR="004570CB" w:rsidRDefault="004570CB" w:rsidP="004570CB">
      <w:pPr>
        <w:spacing w:line="347" w:lineRule="exact"/>
        <w:rPr>
          <w:sz w:val="20"/>
          <w:szCs w:val="20"/>
        </w:rPr>
      </w:pPr>
    </w:p>
    <w:p w:rsidR="004570CB" w:rsidRDefault="004570CB" w:rsidP="004570CB">
      <w:pPr>
        <w:ind w:right="358"/>
        <w:jc w:val="center"/>
        <w:rPr>
          <w:sz w:val="20"/>
          <w:szCs w:val="20"/>
        </w:rPr>
      </w:pPr>
      <w:r>
        <w:rPr>
          <w:rFonts w:ascii="Arial" w:eastAsia="Arial" w:hAnsi="Arial" w:cs="Arial"/>
          <w:sz w:val="16"/>
          <w:szCs w:val="16"/>
        </w:rPr>
        <w:t>72</w:t>
      </w:r>
    </w:p>
    <w:p w:rsidR="004570CB" w:rsidRDefault="004570CB" w:rsidP="004570CB">
      <w:pPr>
        <w:sectPr w:rsidR="004570CB">
          <w:type w:val="continuous"/>
          <w:pgSz w:w="11900" w:h="16838"/>
          <w:pgMar w:top="1102" w:right="1426" w:bottom="192" w:left="1418" w:header="0" w:footer="0" w:gutter="0"/>
          <w:cols w:space="720" w:equalWidth="0">
            <w:col w:w="9062"/>
          </w:cols>
        </w:sectPr>
      </w:pPr>
    </w:p>
    <w:p w:rsidR="004570CB" w:rsidRDefault="004570CB" w:rsidP="004570CB">
      <w:pPr>
        <w:numPr>
          <w:ilvl w:val="0"/>
          <w:numId w:val="7"/>
        </w:numPr>
        <w:tabs>
          <w:tab w:val="left" w:pos="562"/>
        </w:tabs>
        <w:spacing w:line="260" w:lineRule="auto"/>
        <w:ind w:left="562" w:right="6" w:hanging="562"/>
        <w:rPr>
          <w:rFonts w:eastAsia="Times New Roman"/>
        </w:rPr>
      </w:pPr>
      <w:bookmarkStart w:id="1" w:name="page73"/>
      <w:bookmarkEnd w:id="1"/>
      <w:r>
        <w:rPr>
          <w:rFonts w:eastAsia="Times New Roman"/>
        </w:rPr>
        <w:t>Gali padidėti kraujo krešulių susidarymo arterijose (kraujagyslių rūšis) pavojus, jeigu Jūs vyresni nei 65 metų, jeigu sergate diabetu arba jeigu anksčiau turėjote kraujo krešulių arterijose. Pasitarkite su gydytoju, nes kraujo krešuliai gali sukelti širdies smūgį ar insultą.</w:t>
      </w:r>
    </w:p>
    <w:p w:rsidR="004570CB" w:rsidRDefault="004570CB" w:rsidP="004570CB">
      <w:pPr>
        <w:spacing w:line="190" w:lineRule="exact"/>
        <w:rPr>
          <w:rFonts w:eastAsia="Times New Roman"/>
        </w:rPr>
      </w:pPr>
    </w:p>
    <w:p w:rsidR="004570CB" w:rsidRDefault="004570CB" w:rsidP="004570CB">
      <w:pPr>
        <w:numPr>
          <w:ilvl w:val="0"/>
          <w:numId w:val="7"/>
        </w:numPr>
        <w:tabs>
          <w:tab w:val="left" w:pos="562"/>
        </w:tabs>
        <w:spacing w:line="281" w:lineRule="auto"/>
        <w:ind w:left="562" w:right="766" w:hanging="562"/>
        <w:rPr>
          <w:rFonts w:eastAsia="Times New Roman"/>
        </w:rPr>
      </w:pPr>
      <w:r>
        <w:rPr>
          <w:rFonts w:eastAsia="Times New Roman"/>
        </w:rPr>
        <w:t>Avastin vartojimas taip pat gali didinti pavojų susidaryti kraujo krešuliams venose (kita kraujagyslių rūšis).</w:t>
      </w:r>
    </w:p>
    <w:p w:rsidR="004570CB" w:rsidRDefault="004570CB" w:rsidP="004570CB">
      <w:pPr>
        <w:spacing w:line="165" w:lineRule="exact"/>
        <w:rPr>
          <w:rFonts w:eastAsia="Times New Roman"/>
        </w:rPr>
      </w:pPr>
    </w:p>
    <w:p w:rsidR="004570CB" w:rsidRDefault="004570CB" w:rsidP="004570CB">
      <w:pPr>
        <w:numPr>
          <w:ilvl w:val="0"/>
          <w:numId w:val="7"/>
        </w:numPr>
        <w:tabs>
          <w:tab w:val="left" w:pos="562"/>
        </w:tabs>
        <w:spacing w:line="260" w:lineRule="auto"/>
        <w:ind w:left="562" w:right="166" w:hanging="562"/>
        <w:rPr>
          <w:rFonts w:eastAsia="Times New Roman"/>
        </w:rPr>
      </w:pPr>
      <w:r>
        <w:rPr>
          <w:rFonts w:eastAsia="Times New Roman"/>
        </w:rPr>
        <w:t>Šis vaistas gali sukelti kraujavimą, ypatingai su augliu susijusių kraujavimą. Pasikonsultuokite su gydytoju, jeigu Jus ar Jūsų šeimą kamuoja polinkis kraujuoti arba Jūs dėl bet kokios priežasties vartojate kraują skystinančių vaistų.</w:t>
      </w:r>
    </w:p>
    <w:p w:rsidR="004570CB" w:rsidRDefault="004570CB" w:rsidP="004570CB">
      <w:pPr>
        <w:spacing w:line="190" w:lineRule="exact"/>
        <w:rPr>
          <w:rFonts w:eastAsia="Times New Roman"/>
        </w:rPr>
      </w:pPr>
    </w:p>
    <w:p w:rsidR="004570CB" w:rsidRDefault="004570CB" w:rsidP="004570CB">
      <w:pPr>
        <w:numPr>
          <w:ilvl w:val="0"/>
          <w:numId w:val="7"/>
        </w:numPr>
        <w:tabs>
          <w:tab w:val="left" w:pos="562"/>
        </w:tabs>
        <w:spacing w:line="279" w:lineRule="auto"/>
        <w:ind w:left="562" w:right="326" w:hanging="562"/>
        <w:rPr>
          <w:rFonts w:eastAsia="Times New Roman"/>
        </w:rPr>
      </w:pPr>
      <w:r>
        <w:rPr>
          <w:rFonts w:eastAsia="Times New Roman"/>
        </w:rPr>
        <w:t>Avastin gali sukelti kraujavimą į galvos smegenis ir aplink jas. Pasitarkite su gydytoju, jeigu Jums yra į smegenis metastazavęs vėžys.</w:t>
      </w:r>
    </w:p>
    <w:p w:rsidR="004570CB" w:rsidRDefault="004570CB" w:rsidP="004570CB">
      <w:pPr>
        <w:spacing w:line="170" w:lineRule="exact"/>
        <w:rPr>
          <w:rFonts w:eastAsia="Times New Roman"/>
        </w:rPr>
      </w:pPr>
    </w:p>
    <w:p w:rsidR="004570CB" w:rsidRDefault="004570CB" w:rsidP="004570CB">
      <w:pPr>
        <w:numPr>
          <w:ilvl w:val="0"/>
          <w:numId w:val="7"/>
        </w:numPr>
        <w:tabs>
          <w:tab w:val="left" w:pos="562"/>
        </w:tabs>
        <w:spacing w:line="281" w:lineRule="auto"/>
        <w:ind w:left="562" w:right="146" w:hanging="562"/>
        <w:rPr>
          <w:rFonts w:eastAsia="Times New Roman"/>
        </w:rPr>
      </w:pPr>
      <w:r>
        <w:rPr>
          <w:rFonts w:eastAsia="Times New Roman"/>
        </w:rPr>
        <w:t>Avastin vartojimas gali didinti pavojų pasireikšti kraujavimui iš plaučių, įskaitant atsikosėjimą ar skrepliavimą krauju. Pasitarkite su gydytoju, jeigu Jums anksčiau yra buvę šių reiškinių.</w:t>
      </w:r>
    </w:p>
    <w:p w:rsidR="004570CB" w:rsidRDefault="004570CB" w:rsidP="004570CB">
      <w:pPr>
        <w:spacing w:line="165" w:lineRule="exact"/>
        <w:rPr>
          <w:rFonts w:eastAsia="Times New Roman"/>
        </w:rPr>
      </w:pPr>
    </w:p>
    <w:p w:rsidR="004570CB" w:rsidRDefault="004570CB" w:rsidP="004570CB">
      <w:pPr>
        <w:numPr>
          <w:ilvl w:val="0"/>
          <w:numId w:val="7"/>
        </w:numPr>
        <w:tabs>
          <w:tab w:val="left" w:pos="562"/>
        </w:tabs>
        <w:spacing w:line="254" w:lineRule="auto"/>
        <w:ind w:left="562" w:right="406" w:hanging="562"/>
        <w:rPr>
          <w:rFonts w:eastAsia="Times New Roman"/>
        </w:rPr>
      </w:pPr>
      <w:r>
        <w:rPr>
          <w:rFonts w:eastAsia="Times New Roman"/>
        </w:rPr>
        <w:t>Avastin vartojimas gali didinti pavojų pasireikšti širdies veiklos silpnumui. Svarbu kad gydytojas žinotų, jeigu Jūs kada nors vartojote antraciklinų (pavyzdžiui, doksorubicino, specifinės rūšies vaistų, vartojamų kai kurių vėžio formų chemoterapijai) arba Jūsų krūtinės ląstai taikyta radioterapija, arba jeigu sergate širdies liga.</w:t>
      </w:r>
    </w:p>
    <w:p w:rsidR="004570CB" w:rsidRDefault="004570CB" w:rsidP="004570CB">
      <w:pPr>
        <w:spacing w:line="193" w:lineRule="exact"/>
        <w:rPr>
          <w:rFonts w:eastAsia="Times New Roman"/>
        </w:rPr>
      </w:pPr>
    </w:p>
    <w:p w:rsidR="004570CB" w:rsidRDefault="004570CB" w:rsidP="004570CB">
      <w:pPr>
        <w:numPr>
          <w:ilvl w:val="0"/>
          <w:numId w:val="7"/>
        </w:numPr>
        <w:tabs>
          <w:tab w:val="left" w:pos="542"/>
        </w:tabs>
        <w:spacing w:line="281" w:lineRule="auto"/>
        <w:ind w:left="542" w:right="986" w:hanging="542"/>
        <w:rPr>
          <w:rFonts w:eastAsia="Times New Roman"/>
        </w:rPr>
      </w:pPr>
      <w:r>
        <w:rPr>
          <w:rFonts w:eastAsia="Times New Roman"/>
        </w:rPr>
        <w:t>Šis vaistas gali skatinti infekcinių ligų pasireiškimą ir mažinti neutrofilų (tam tikrų su bakterijomis kovojančių kraujo ląstelių) skaičių kraujyje.</w:t>
      </w:r>
    </w:p>
    <w:p w:rsidR="004570CB" w:rsidRDefault="004570CB" w:rsidP="004570CB">
      <w:pPr>
        <w:spacing w:line="168" w:lineRule="exact"/>
        <w:rPr>
          <w:rFonts w:eastAsia="Times New Roman"/>
        </w:rPr>
      </w:pPr>
    </w:p>
    <w:p w:rsidR="004570CB" w:rsidRDefault="004570CB" w:rsidP="004570CB">
      <w:pPr>
        <w:numPr>
          <w:ilvl w:val="0"/>
          <w:numId w:val="7"/>
        </w:numPr>
        <w:tabs>
          <w:tab w:val="left" w:pos="542"/>
        </w:tabs>
        <w:spacing w:line="253" w:lineRule="auto"/>
        <w:ind w:left="542" w:right="166" w:hanging="542"/>
        <w:rPr>
          <w:rFonts w:eastAsia="Times New Roman"/>
        </w:rPr>
      </w:pPr>
      <w:r>
        <w:rPr>
          <w:rFonts w:eastAsia="Times New Roman"/>
        </w:rPr>
        <w:t>Avastin gali sukelti padidėjusio jautrumo ir (arba) su šio vaisto infuzija (leidimu į veną) susijusių reakcijų. Pasakykite gydytojui, vaistininkui arba slaugytojui, jeigu anksčiau po vaisto leidimo į veną Jums yra pasireiškę tokių sutrikimų, kaip galvos svaigimas ar alpimo pojūtis, dusulys, odos patinimas ar bėrimas.</w:t>
      </w:r>
    </w:p>
    <w:p w:rsidR="004570CB" w:rsidRDefault="004570CB" w:rsidP="004570CB">
      <w:pPr>
        <w:spacing w:line="197" w:lineRule="exact"/>
        <w:rPr>
          <w:rFonts w:eastAsia="Times New Roman"/>
        </w:rPr>
      </w:pPr>
    </w:p>
    <w:p w:rsidR="004570CB" w:rsidRDefault="004570CB" w:rsidP="004570CB">
      <w:pPr>
        <w:numPr>
          <w:ilvl w:val="0"/>
          <w:numId w:val="7"/>
        </w:numPr>
        <w:tabs>
          <w:tab w:val="left" w:pos="542"/>
        </w:tabs>
        <w:spacing w:line="253" w:lineRule="auto"/>
        <w:ind w:left="542" w:right="366" w:hanging="542"/>
        <w:rPr>
          <w:rFonts w:eastAsia="Times New Roman"/>
        </w:rPr>
      </w:pPr>
      <w:r>
        <w:rPr>
          <w:rFonts w:eastAsia="Times New Roman"/>
        </w:rPr>
        <w:t>Su Avastin vartojimu yra susijęs reto nervų sistemos sutrikimo, vadinamo užpakalinės grįžtamosios encefalopatijos sindromu (UGES), pasireiškimas. Jeigu Jums skauda galvą, yra regos pokyčių, minčių susipainiojimas arba ištiko priepuolis, esant arba nesant padidėjusiam kraujospūdžiui, prašytume kreiptis į gydytoją.</w:t>
      </w:r>
    </w:p>
    <w:p w:rsidR="004570CB" w:rsidRDefault="004570CB" w:rsidP="004570CB">
      <w:pPr>
        <w:spacing w:line="198" w:lineRule="exact"/>
        <w:rPr>
          <w:sz w:val="20"/>
          <w:szCs w:val="20"/>
        </w:rPr>
      </w:pPr>
    </w:p>
    <w:p w:rsidR="004570CB" w:rsidRDefault="004570CB" w:rsidP="004570CB">
      <w:pPr>
        <w:ind w:left="2"/>
        <w:rPr>
          <w:sz w:val="20"/>
          <w:szCs w:val="20"/>
        </w:rPr>
      </w:pPr>
      <w:r>
        <w:rPr>
          <w:rFonts w:eastAsia="Times New Roman"/>
        </w:rPr>
        <w:t>Prašom pasitarti su savo gydytoju net jeigu šios nurodytos būklės Jums pasitaikė anksčiau.</w:t>
      </w:r>
    </w:p>
    <w:p w:rsidR="004570CB" w:rsidRDefault="004570CB" w:rsidP="004570CB">
      <w:pPr>
        <w:spacing w:line="252" w:lineRule="exact"/>
        <w:rPr>
          <w:sz w:val="20"/>
          <w:szCs w:val="20"/>
        </w:rPr>
      </w:pPr>
    </w:p>
    <w:p w:rsidR="004570CB" w:rsidRDefault="004570CB" w:rsidP="004570CB">
      <w:pPr>
        <w:ind w:left="2"/>
        <w:rPr>
          <w:sz w:val="20"/>
          <w:szCs w:val="20"/>
        </w:rPr>
      </w:pPr>
      <w:r>
        <w:rPr>
          <w:rFonts w:eastAsia="Times New Roman"/>
        </w:rPr>
        <w:t>Prieš Jums skiriant Avastin arba Avastin vartojimo metu:</w:t>
      </w:r>
    </w:p>
    <w:p w:rsidR="004570CB" w:rsidRDefault="004570CB" w:rsidP="004570CB">
      <w:pPr>
        <w:numPr>
          <w:ilvl w:val="0"/>
          <w:numId w:val="8"/>
        </w:numPr>
        <w:tabs>
          <w:tab w:val="left" w:pos="562"/>
        </w:tabs>
        <w:spacing w:line="239" w:lineRule="auto"/>
        <w:ind w:left="562" w:right="306" w:hanging="562"/>
        <w:rPr>
          <w:rFonts w:eastAsia="Times New Roman"/>
        </w:rPr>
      </w:pPr>
      <w:r>
        <w:rPr>
          <w:rFonts w:eastAsia="Times New Roman"/>
        </w:rPr>
        <w:t>jeigu Jums yra arba anksčiau pasireiškė burnos ertmės, dantų ir (arba) žandikaulio skausmas, burnos ertmės patinimas ar žaizdos, žandikaulio nutirpimo ar sunkumo pojūtis arba iškrito dantis, nedelsiant pasakykite savo gydytojui ir odontologui;</w:t>
      </w:r>
    </w:p>
    <w:p w:rsidR="004570CB" w:rsidRDefault="004570CB" w:rsidP="004570CB">
      <w:pPr>
        <w:spacing w:line="2" w:lineRule="exact"/>
        <w:rPr>
          <w:rFonts w:eastAsia="Times New Roman"/>
        </w:rPr>
      </w:pPr>
    </w:p>
    <w:p w:rsidR="004570CB" w:rsidRDefault="004570CB" w:rsidP="004570CB">
      <w:pPr>
        <w:numPr>
          <w:ilvl w:val="0"/>
          <w:numId w:val="8"/>
        </w:numPr>
        <w:tabs>
          <w:tab w:val="left" w:pos="562"/>
        </w:tabs>
        <w:spacing w:line="260" w:lineRule="auto"/>
        <w:ind w:left="562" w:right="106" w:hanging="562"/>
        <w:rPr>
          <w:rFonts w:eastAsia="Times New Roman"/>
        </w:rPr>
      </w:pPr>
      <w:r>
        <w:rPr>
          <w:rFonts w:eastAsia="Times New Roman"/>
        </w:rPr>
        <w:t>jeigu Jums reikia invazinio ar chirurginio dantų gydymo, pasakykite odontologui, kad vartojate Avastin, ypatingai tuomet, kai kartu vartojate ar anksčiau vartojote į veną švirkščiamų bisfosfonatų.</w:t>
      </w:r>
    </w:p>
    <w:p w:rsidR="004570CB" w:rsidRDefault="004570CB" w:rsidP="004570CB">
      <w:pPr>
        <w:spacing w:line="190" w:lineRule="exact"/>
        <w:rPr>
          <w:sz w:val="20"/>
          <w:szCs w:val="20"/>
        </w:rPr>
      </w:pPr>
    </w:p>
    <w:p w:rsidR="004570CB" w:rsidRDefault="004570CB" w:rsidP="004570CB">
      <w:pPr>
        <w:spacing w:line="359" w:lineRule="auto"/>
        <w:ind w:left="2" w:right="1326"/>
        <w:rPr>
          <w:sz w:val="20"/>
          <w:szCs w:val="20"/>
        </w:rPr>
      </w:pPr>
      <w:r>
        <w:rPr>
          <w:rFonts w:eastAsia="Times New Roman"/>
        </w:rPr>
        <w:t xml:space="preserve">Prieš pradedant skirti Avastin, Jums gali būti rekomenduota pasitikrinti pas odontologą. </w:t>
      </w:r>
      <w:r>
        <w:rPr>
          <w:rFonts w:eastAsia="Times New Roman"/>
          <w:b/>
          <w:bCs/>
        </w:rPr>
        <w:t>Vaikams ir paaugliams</w:t>
      </w:r>
    </w:p>
    <w:p w:rsidR="004570CB" w:rsidRDefault="004570CB" w:rsidP="004570CB">
      <w:pPr>
        <w:spacing w:line="2" w:lineRule="exact"/>
        <w:rPr>
          <w:sz w:val="20"/>
          <w:szCs w:val="20"/>
        </w:rPr>
      </w:pPr>
    </w:p>
    <w:p w:rsidR="004570CB" w:rsidRDefault="004570CB" w:rsidP="004570CB">
      <w:pPr>
        <w:spacing w:line="279" w:lineRule="auto"/>
        <w:ind w:left="2" w:right="166"/>
        <w:rPr>
          <w:sz w:val="20"/>
          <w:szCs w:val="20"/>
        </w:rPr>
      </w:pPr>
      <w:r>
        <w:rPr>
          <w:rFonts w:eastAsia="Times New Roman"/>
        </w:rPr>
        <w:t>Avastin nerekomenduojama vartoti vaikams ir jaunesniems kaip 18 metų paaugliams, kadangi vaisto saugumas ir veiksmingumas šioje pacientų populiacijoje neištirti.</w:t>
      </w:r>
    </w:p>
    <w:p w:rsidR="004570CB" w:rsidRDefault="004570CB" w:rsidP="004570CB">
      <w:pPr>
        <w:spacing w:line="170" w:lineRule="exact"/>
        <w:rPr>
          <w:sz w:val="20"/>
          <w:szCs w:val="20"/>
        </w:rPr>
      </w:pPr>
    </w:p>
    <w:p w:rsidR="004570CB" w:rsidRDefault="004570CB" w:rsidP="004570CB">
      <w:pPr>
        <w:spacing w:line="281" w:lineRule="auto"/>
        <w:ind w:left="2" w:right="666"/>
        <w:rPr>
          <w:sz w:val="20"/>
          <w:szCs w:val="20"/>
        </w:rPr>
      </w:pPr>
      <w:r>
        <w:rPr>
          <w:rFonts w:eastAsia="Times New Roman"/>
        </w:rPr>
        <w:t>Avastin vartojimo metu jaunesniems kaip 18 metų pacientams kituose nei žandikaulis kauluose nustatyta kaulinio audinio irimo (osteonekrozės) atvejų.</w:t>
      </w:r>
    </w:p>
    <w:p w:rsidR="004570CB" w:rsidRDefault="004570CB" w:rsidP="004570CB">
      <w:pPr>
        <w:spacing w:line="167" w:lineRule="exact"/>
        <w:rPr>
          <w:sz w:val="20"/>
          <w:szCs w:val="20"/>
        </w:rPr>
      </w:pPr>
    </w:p>
    <w:p w:rsidR="004570CB" w:rsidRDefault="004570CB" w:rsidP="004570CB">
      <w:pPr>
        <w:ind w:left="2"/>
        <w:rPr>
          <w:sz w:val="20"/>
          <w:szCs w:val="20"/>
        </w:rPr>
      </w:pPr>
      <w:r>
        <w:rPr>
          <w:rFonts w:eastAsia="Times New Roman"/>
          <w:b/>
          <w:bCs/>
        </w:rPr>
        <w:t>Kiti vaistai ir Avastin</w:t>
      </w:r>
    </w:p>
    <w:p w:rsidR="004570CB" w:rsidRDefault="004570CB" w:rsidP="004570CB">
      <w:pPr>
        <w:spacing w:line="279" w:lineRule="auto"/>
        <w:ind w:left="2" w:right="226"/>
        <w:rPr>
          <w:sz w:val="20"/>
          <w:szCs w:val="20"/>
        </w:rPr>
      </w:pPr>
      <w:r>
        <w:rPr>
          <w:rFonts w:eastAsia="Times New Roman"/>
        </w:rPr>
        <w:t>Jeigu vartojate ar neseniai vartojote kitų vaistų arba dėl to nesate tikri, apie tai pasakykite gydytojui, vaistininkui arba slaugytojui.</w:t>
      </w:r>
    </w:p>
    <w:p w:rsidR="004570CB" w:rsidRDefault="004570CB" w:rsidP="004570CB">
      <w:pPr>
        <w:sectPr w:rsidR="004570CB">
          <w:pgSz w:w="11900" w:h="16838"/>
          <w:pgMar w:top="1102" w:right="1440" w:bottom="192" w:left="1418" w:header="0" w:footer="0" w:gutter="0"/>
          <w:cols w:space="720" w:equalWidth="0">
            <w:col w:w="9049"/>
          </w:cols>
        </w:sectPr>
      </w:pPr>
    </w:p>
    <w:p w:rsidR="004570CB" w:rsidRDefault="004570CB" w:rsidP="004570CB">
      <w:pPr>
        <w:spacing w:line="295" w:lineRule="exact"/>
        <w:rPr>
          <w:sz w:val="20"/>
          <w:szCs w:val="20"/>
        </w:rPr>
      </w:pPr>
    </w:p>
    <w:p w:rsidR="004570CB" w:rsidRDefault="004570CB" w:rsidP="004570CB">
      <w:pPr>
        <w:ind w:right="344"/>
        <w:jc w:val="center"/>
        <w:rPr>
          <w:sz w:val="20"/>
          <w:szCs w:val="20"/>
        </w:rPr>
      </w:pPr>
      <w:r>
        <w:rPr>
          <w:rFonts w:ascii="Arial" w:eastAsia="Arial" w:hAnsi="Arial" w:cs="Arial"/>
          <w:sz w:val="16"/>
          <w:szCs w:val="16"/>
        </w:rPr>
        <w:t>73</w:t>
      </w:r>
    </w:p>
    <w:p w:rsidR="004570CB" w:rsidRDefault="004570CB" w:rsidP="004570CB">
      <w:pPr>
        <w:sectPr w:rsidR="004570CB">
          <w:type w:val="continuous"/>
          <w:pgSz w:w="11900" w:h="16838"/>
          <w:pgMar w:top="1102" w:right="1440" w:bottom="192" w:left="1418" w:header="0" w:footer="0" w:gutter="0"/>
          <w:cols w:space="720" w:equalWidth="0">
            <w:col w:w="9049"/>
          </w:cols>
        </w:sectPr>
      </w:pPr>
    </w:p>
    <w:p w:rsidR="004570CB" w:rsidRDefault="004570CB" w:rsidP="004570CB">
      <w:pPr>
        <w:spacing w:line="260" w:lineRule="auto"/>
        <w:ind w:left="2" w:right="326"/>
        <w:rPr>
          <w:sz w:val="20"/>
          <w:szCs w:val="20"/>
        </w:rPr>
      </w:pPr>
      <w:bookmarkStart w:id="2" w:name="page74"/>
      <w:bookmarkEnd w:id="2"/>
      <w:r>
        <w:rPr>
          <w:rFonts w:eastAsia="Times New Roman"/>
        </w:rPr>
        <w:t>Avastin vartojimas derinyje su kitu vaistu, vadinamu sunitinibo malatu (skiriamu inkstų vėžiui ir virškinimo trakto vėžiui gydyti), gali sukelti sunkių šalutinių reiškinių. Pasitarkite su gydytoju, kad įsitikintumėte, jog nevartojate šių vaistų derinio.</w:t>
      </w:r>
    </w:p>
    <w:p w:rsidR="004570CB" w:rsidRDefault="004570CB" w:rsidP="004570CB">
      <w:pPr>
        <w:spacing w:line="190" w:lineRule="exact"/>
        <w:rPr>
          <w:sz w:val="20"/>
          <w:szCs w:val="20"/>
        </w:rPr>
      </w:pPr>
    </w:p>
    <w:p w:rsidR="004570CB" w:rsidRDefault="004570CB" w:rsidP="004570CB">
      <w:pPr>
        <w:ind w:left="2" w:right="6"/>
        <w:rPr>
          <w:sz w:val="20"/>
          <w:szCs w:val="20"/>
        </w:rPr>
      </w:pPr>
      <w:r>
        <w:rPr>
          <w:rFonts w:eastAsia="Times New Roman"/>
        </w:rPr>
        <w:t>Pasakykite gydytojui, jeigu Jums plaučių vėžiui ar metastazavusiam krūties vėžiui skiriamas gydymas, kurio sudėtyje yra platinos ar taksanų grupių preparatų. Šių preparatų derinys su Avastin gali didinti sunkių šalutinių reiškinių pasireiškimo pavojų.</w:t>
      </w:r>
    </w:p>
    <w:p w:rsidR="004570CB" w:rsidRDefault="004570CB" w:rsidP="004570CB">
      <w:pPr>
        <w:spacing w:line="191" w:lineRule="exact"/>
        <w:rPr>
          <w:sz w:val="20"/>
          <w:szCs w:val="20"/>
        </w:rPr>
      </w:pPr>
    </w:p>
    <w:p w:rsidR="004570CB" w:rsidRDefault="004570CB" w:rsidP="004570CB">
      <w:pPr>
        <w:spacing w:line="359" w:lineRule="auto"/>
        <w:ind w:left="2" w:right="1746"/>
        <w:rPr>
          <w:sz w:val="20"/>
          <w:szCs w:val="20"/>
        </w:rPr>
      </w:pPr>
      <w:r>
        <w:rPr>
          <w:rFonts w:eastAsia="Times New Roman"/>
        </w:rPr>
        <w:t xml:space="preserve">Pasakykite gydytojui, jeigu Jums neseniai taikyta arba dabar taikoma radioterapija. </w:t>
      </w:r>
      <w:r>
        <w:rPr>
          <w:rFonts w:eastAsia="Times New Roman"/>
          <w:b/>
          <w:bCs/>
        </w:rPr>
        <w:t>Nėštumas, žindymo laikotarpis ir vaisingumas</w:t>
      </w:r>
    </w:p>
    <w:p w:rsidR="004570CB" w:rsidRDefault="004570CB" w:rsidP="004570CB">
      <w:pPr>
        <w:spacing w:line="2" w:lineRule="exact"/>
        <w:rPr>
          <w:sz w:val="20"/>
          <w:szCs w:val="20"/>
        </w:rPr>
      </w:pPr>
    </w:p>
    <w:p w:rsidR="004570CB" w:rsidRDefault="004570CB" w:rsidP="004570CB">
      <w:pPr>
        <w:spacing w:line="278" w:lineRule="auto"/>
        <w:ind w:left="2" w:right="166"/>
        <w:jc w:val="both"/>
        <w:rPr>
          <w:sz w:val="20"/>
          <w:szCs w:val="20"/>
        </w:rPr>
      </w:pPr>
      <w:r>
        <w:rPr>
          <w:rFonts w:eastAsia="Times New Roman"/>
          <w:sz w:val="21"/>
          <w:szCs w:val="21"/>
        </w:rPr>
        <w:t>Jeigu esate nėščia, Avastin vartoti draudžiama. Avastin gali pakenkti Jūsų negimusiam kūdikiui, nes jis gali stabdyti naujų kraujagyslių susidarymą. Gydytojas turėtų Jums patarti, kad gydymosi Avastin metu ir mažiausiai 6 mėnesius po paskutinės Avastin dozės reikia naudoti kontracepcines priemones.</w:t>
      </w:r>
    </w:p>
    <w:p w:rsidR="004570CB" w:rsidRDefault="004570CB" w:rsidP="004570CB">
      <w:pPr>
        <w:spacing w:line="173" w:lineRule="exact"/>
        <w:rPr>
          <w:sz w:val="20"/>
          <w:szCs w:val="20"/>
        </w:rPr>
      </w:pPr>
    </w:p>
    <w:p w:rsidR="004570CB" w:rsidRDefault="004570CB" w:rsidP="004570CB">
      <w:pPr>
        <w:spacing w:line="279" w:lineRule="auto"/>
        <w:ind w:left="2" w:right="106"/>
        <w:rPr>
          <w:sz w:val="20"/>
          <w:szCs w:val="20"/>
        </w:rPr>
      </w:pPr>
      <w:r>
        <w:rPr>
          <w:rFonts w:eastAsia="Times New Roman"/>
        </w:rPr>
        <w:t>Jeigu esate nėščia, pastojote gydymosi Avastin metu arba artimiausioje ateityje numatote pastoti, tuoj pat apie tai pasakykite savo gydytojui.</w:t>
      </w:r>
    </w:p>
    <w:p w:rsidR="004570CB" w:rsidRDefault="004570CB" w:rsidP="004570CB">
      <w:pPr>
        <w:spacing w:line="170" w:lineRule="exact"/>
        <w:rPr>
          <w:sz w:val="20"/>
          <w:szCs w:val="20"/>
        </w:rPr>
      </w:pPr>
    </w:p>
    <w:p w:rsidR="004570CB" w:rsidRDefault="004570CB" w:rsidP="004570CB">
      <w:pPr>
        <w:spacing w:line="281" w:lineRule="auto"/>
        <w:ind w:left="2" w:right="646"/>
        <w:rPr>
          <w:sz w:val="20"/>
          <w:szCs w:val="20"/>
        </w:rPr>
      </w:pPr>
      <w:r>
        <w:rPr>
          <w:rFonts w:eastAsia="Times New Roman"/>
        </w:rPr>
        <w:t>Vartodama Avastin ir mažiausiai 6 mėnesius po paskutinės Avastin dozės Jūs privalote kūdikio nežindyti, nes Avastin gali pakenkti Jūsų kūdikio augimui ir raidai.</w:t>
      </w:r>
    </w:p>
    <w:p w:rsidR="004570CB" w:rsidRDefault="004570CB" w:rsidP="004570CB">
      <w:pPr>
        <w:spacing w:line="166" w:lineRule="exact"/>
        <w:rPr>
          <w:sz w:val="20"/>
          <w:szCs w:val="20"/>
        </w:rPr>
      </w:pPr>
    </w:p>
    <w:p w:rsidR="004570CB" w:rsidRDefault="004570CB" w:rsidP="004570CB">
      <w:pPr>
        <w:ind w:left="2"/>
        <w:rPr>
          <w:sz w:val="20"/>
          <w:szCs w:val="20"/>
        </w:rPr>
      </w:pPr>
      <w:r>
        <w:rPr>
          <w:rFonts w:eastAsia="Times New Roman"/>
        </w:rPr>
        <w:t>Avastin gali sutrikdyti moterų vaisingumą. Kreipkitės į gydytoją, kuris suteiks išsamios informacijos.</w:t>
      </w:r>
    </w:p>
    <w:p w:rsidR="004570CB" w:rsidRDefault="004570CB" w:rsidP="004570CB">
      <w:pPr>
        <w:spacing w:line="253" w:lineRule="exact"/>
        <w:rPr>
          <w:sz w:val="20"/>
          <w:szCs w:val="20"/>
        </w:rPr>
      </w:pPr>
    </w:p>
    <w:p w:rsidR="004570CB" w:rsidRDefault="004570CB" w:rsidP="004570CB">
      <w:pPr>
        <w:ind w:left="2"/>
        <w:rPr>
          <w:sz w:val="20"/>
          <w:szCs w:val="20"/>
        </w:rPr>
      </w:pPr>
      <w:r>
        <w:rPr>
          <w:rFonts w:eastAsia="Times New Roman"/>
        </w:rPr>
        <w:t>Prieš vartojant bet kokį vaistą, būtina pasitarti su gydytoju, vaistininku arba slaugytoju.</w:t>
      </w:r>
    </w:p>
    <w:p w:rsidR="004570CB" w:rsidRDefault="004570CB" w:rsidP="004570CB">
      <w:pPr>
        <w:spacing w:line="255" w:lineRule="exact"/>
        <w:rPr>
          <w:sz w:val="20"/>
          <w:szCs w:val="20"/>
        </w:rPr>
      </w:pPr>
    </w:p>
    <w:p w:rsidR="004570CB" w:rsidRDefault="004570CB" w:rsidP="004570CB">
      <w:pPr>
        <w:ind w:left="2"/>
        <w:rPr>
          <w:sz w:val="20"/>
          <w:szCs w:val="20"/>
        </w:rPr>
      </w:pPr>
      <w:r>
        <w:rPr>
          <w:rFonts w:eastAsia="Times New Roman"/>
          <w:b/>
          <w:bCs/>
        </w:rPr>
        <w:t>Vairavimas ir mechanizmų valdymas</w:t>
      </w:r>
    </w:p>
    <w:p w:rsidR="004570CB" w:rsidRDefault="004570CB" w:rsidP="004570CB">
      <w:pPr>
        <w:spacing w:line="253" w:lineRule="auto"/>
        <w:ind w:left="2" w:right="46"/>
        <w:rPr>
          <w:sz w:val="20"/>
          <w:szCs w:val="20"/>
        </w:rPr>
      </w:pPr>
      <w:r>
        <w:rPr>
          <w:rFonts w:eastAsia="Times New Roman"/>
        </w:rPr>
        <w:t>Tai, kad Avastin pablogintų gebėjimą vairuoti arba valdyti bet kokius įrengimus ar mechanizmus, nenustatyta. Tačiau gauta pranešimų, kad vartojant Avastin pasireiškia mieguistumas ir alpimas. Jeigu Jums pasireikštų simptomų, kurie blogintų Jūsų regėjimą, koncentraciją arba gebėjimą laiku reaguoti, nevairuokite ir nevaldykite mechanizmų, kol šie simptomai neišnyks.</w:t>
      </w:r>
    </w:p>
    <w:p w:rsidR="004570CB" w:rsidRDefault="004570CB" w:rsidP="004570CB">
      <w:pPr>
        <w:spacing w:line="197" w:lineRule="exact"/>
        <w:rPr>
          <w:sz w:val="20"/>
          <w:szCs w:val="20"/>
        </w:rPr>
      </w:pPr>
    </w:p>
    <w:p w:rsidR="004570CB" w:rsidRDefault="004570CB" w:rsidP="004570CB">
      <w:pPr>
        <w:ind w:left="2"/>
        <w:rPr>
          <w:sz w:val="20"/>
          <w:szCs w:val="20"/>
        </w:rPr>
      </w:pPr>
      <w:r>
        <w:rPr>
          <w:rFonts w:eastAsia="Times New Roman"/>
          <w:b/>
          <w:bCs/>
        </w:rPr>
        <w:t>Svarbi informacija apie kai kurias Avastin pagalbines medžiagas</w:t>
      </w:r>
    </w:p>
    <w:p w:rsidR="004570CB" w:rsidRDefault="004570CB" w:rsidP="004570CB">
      <w:pPr>
        <w:ind w:left="2"/>
        <w:rPr>
          <w:sz w:val="20"/>
          <w:szCs w:val="20"/>
        </w:rPr>
      </w:pPr>
      <w:r>
        <w:rPr>
          <w:rFonts w:eastAsia="Times New Roman"/>
        </w:rPr>
        <w:t>Šio vaisto flakone yra mažiau kaip 1 mmol (23 mg) natrio, t. y. jis beveik neturi reikšmės.</w:t>
      </w:r>
    </w:p>
    <w:p w:rsidR="004570CB" w:rsidRDefault="004570CB" w:rsidP="004570CB">
      <w:pPr>
        <w:spacing w:line="200" w:lineRule="exact"/>
        <w:rPr>
          <w:sz w:val="20"/>
          <w:szCs w:val="20"/>
        </w:rPr>
      </w:pPr>
    </w:p>
    <w:p w:rsidR="004570CB" w:rsidRDefault="004570CB" w:rsidP="004570CB">
      <w:pPr>
        <w:spacing w:line="307" w:lineRule="exact"/>
        <w:rPr>
          <w:sz w:val="20"/>
          <w:szCs w:val="20"/>
        </w:rPr>
      </w:pPr>
    </w:p>
    <w:p w:rsidR="004570CB" w:rsidRDefault="004570CB" w:rsidP="004570CB">
      <w:pPr>
        <w:numPr>
          <w:ilvl w:val="0"/>
          <w:numId w:val="9"/>
        </w:numPr>
        <w:tabs>
          <w:tab w:val="left" w:pos="562"/>
        </w:tabs>
        <w:ind w:left="562" w:hanging="562"/>
        <w:rPr>
          <w:rFonts w:eastAsia="Times New Roman"/>
          <w:b/>
          <w:bCs/>
        </w:rPr>
      </w:pPr>
      <w:r>
        <w:rPr>
          <w:rFonts w:eastAsia="Times New Roman"/>
          <w:b/>
          <w:bCs/>
        </w:rPr>
        <w:t>Kaip vartoti Avastin</w:t>
      </w:r>
    </w:p>
    <w:p w:rsidR="004570CB" w:rsidRDefault="004570CB" w:rsidP="004570CB">
      <w:pPr>
        <w:spacing w:line="251" w:lineRule="exact"/>
        <w:rPr>
          <w:sz w:val="20"/>
          <w:szCs w:val="20"/>
        </w:rPr>
      </w:pPr>
    </w:p>
    <w:p w:rsidR="004570CB" w:rsidRDefault="004570CB" w:rsidP="004570CB">
      <w:pPr>
        <w:ind w:left="2"/>
        <w:rPr>
          <w:sz w:val="20"/>
          <w:szCs w:val="20"/>
        </w:rPr>
      </w:pPr>
      <w:r>
        <w:rPr>
          <w:rFonts w:eastAsia="Times New Roman"/>
          <w:b/>
          <w:bCs/>
        </w:rPr>
        <w:t>Dozavimas ir vartojimo dažnis</w:t>
      </w:r>
    </w:p>
    <w:p w:rsidR="004570CB" w:rsidRDefault="004570CB" w:rsidP="004570CB">
      <w:pPr>
        <w:ind w:left="2"/>
        <w:rPr>
          <w:sz w:val="20"/>
          <w:szCs w:val="20"/>
        </w:rPr>
      </w:pPr>
      <w:r>
        <w:rPr>
          <w:rFonts w:eastAsia="Times New Roman"/>
        </w:rPr>
        <w:t>Reikiama Avastin dozė priklauso nuo Jūsų kūno svorio ir numatomo gydyti vėžio rūšies.</w:t>
      </w:r>
    </w:p>
    <w:p w:rsidR="004570CB" w:rsidRDefault="004570CB" w:rsidP="004570CB">
      <w:pPr>
        <w:spacing w:line="1" w:lineRule="exact"/>
        <w:rPr>
          <w:sz w:val="20"/>
          <w:szCs w:val="20"/>
        </w:rPr>
      </w:pPr>
    </w:p>
    <w:p w:rsidR="004570CB" w:rsidRDefault="004570CB" w:rsidP="004570CB">
      <w:pPr>
        <w:spacing w:line="253" w:lineRule="auto"/>
        <w:ind w:left="2" w:right="246"/>
        <w:rPr>
          <w:sz w:val="20"/>
          <w:szCs w:val="20"/>
        </w:rPr>
      </w:pPr>
      <w:r>
        <w:rPr>
          <w:rFonts w:eastAsia="Times New Roman"/>
        </w:rPr>
        <w:t>Rekomenduojama dozė – 5 mg, 7,5 mg, 10 mg arba 15 mg kilogramui Jūsų kūno svorio. Gydytojas paskirs Jums tinkamą Avastin dozę. Avastin Jums skirs kartą kas 2 arba 3 savaites. Jūsų gaunamų infuzijų (vaisto lašinimų) skaičius priklausys nuo Jūsų reakcijos į gydymą; šio vaisto Jūs turėtumėte vartoti tol, kol Avastin nustos stabdyti naviko augimą. Gydytojas tai su Jumis aptars.</w:t>
      </w:r>
    </w:p>
    <w:p w:rsidR="004570CB" w:rsidRDefault="004570CB" w:rsidP="004570CB">
      <w:pPr>
        <w:spacing w:line="197" w:lineRule="exact"/>
        <w:rPr>
          <w:sz w:val="20"/>
          <w:szCs w:val="20"/>
        </w:rPr>
      </w:pPr>
    </w:p>
    <w:p w:rsidR="004570CB" w:rsidRDefault="004570CB" w:rsidP="004570CB">
      <w:pPr>
        <w:ind w:left="2"/>
        <w:rPr>
          <w:sz w:val="20"/>
          <w:szCs w:val="20"/>
        </w:rPr>
      </w:pPr>
      <w:r>
        <w:rPr>
          <w:rFonts w:eastAsia="Times New Roman"/>
          <w:b/>
          <w:bCs/>
        </w:rPr>
        <w:t>Vartojimo metodas</w:t>
      </w:r>
    </w:p>
    <w:p w:rsidR="004570CB" w:rsidRDefault="004570CB" w:rsidP="004570CB">
      <w:pPr>
        <w:spacing w:line="250" w:lineRule="auto"/>
        <w:ind w:left="2" w:right="206"/>
        <w:rPr>
          <w:sz w:val="20"/>
          <w:szCs w:val="20"/>
        </w:rPr>
      </w:pPr>
      <w:r>
        <w:rPr>
          <w:rFonts w:eastAsia="Times New Roman"/>
        </w:rPr>
        <w:t>Nepurtykite flakono. Avastin – tai koncentratas infuziniam tirpalui ruošti. Atsižvelgiant į Jums paskirtą dozę, prieš vartojimą dalis Avastin flakono turinio arba visas turinys bus skiedžiamas natrio chlorido tirpalu. Gydytojas arba medicinos sesuo šį praskiestą Avastin tirpalą sulašins Jums į veną. Pirmą kartą vaistas bus sulašinamas per 90 minučių. Jei tai gerai toleruosite, antrą kartą vaistas gali būti sulašintas per 60 minučių. Vėliau vaistas Jums gali būti sulašinamas per 30 minučių.</w:t>
      </w:r>
    </w:p>
    <w:p w:rsidR="004570CB" w:rsidRDefault="004570CB" w:rsidP="004570CB">
      <w:pPr>
        <w:spacing w:line="200" w:lineRule="exact"/>
        <w:rPr>
          <w:sz w:val="20"/>
          <w:szCs w:val="20"/>
        </w:rPr>
      </w:pPr>
    </w:p>
    <w:p w:rsidR="004570CB" w:rsidRDefault="004570CB" w:rsidP="004570CB">
      <w:pPr>
        <w:ind w:left="2"/>
        <w:rPr>
          <w:sz w:val="20"/>
          <w:szCs w:val="20"/>
        </w:rPr>
      </w:pPr>
      <w:r>
        <w:rPr>
          <w:rFonts w:eastAsia="Times New Roman"/>
          <w:b/>
          <w:bCs/>
        </w:rPr>
        <w:t>Avastin reikia laikinai nevartoti:</w:t>
      </w:r>
    </w:p>
    <w:p w:rsidR="004570CB" w:rsidRDefault="004570CB" w:rsidP="004570CB">
      <w:pPr>
        <w:numPr>
          <w:ilvl w:val="0"/>
          <w:numId w:val="10"/>
        </w:numPr>
        <w:tabs>
          <w:tab w:val="left" w:pos="562"/>
        </w:tabs>
        <w:ind w:left="562" w:hanging="562"/>
        <w:rPr>
          <w:rFonts w:eastAsia="Times New Roman"/>
        </w:rPr>
      </w:pPr>
      <w:r>
        <w:rPr>
          <w:rFonts w:eastAsia="Times New Roman"/>
        </w:rPr>
        <w:t>jeigu labai padidėja kraujospūdis ir reikia gydyti kraujospūdį mažinančiais vaistais,</w:t>
      </w:r>
    </w:p>
    <w:p w:rsidR="004570CB" w:rsidRDefault="004570CB" w:rsidP="004570CB">
      <w:pPr>
        <w:spacing w:line="1" w:lineRule="exact"/>
        <w:rPr>
          <w:rFonts w:eastAsia="Times New Roman"/>
        </w:rPr>
      </w:pPr>
    </w:p>
    <w:p w:rsidR="004570CB" w:rsidRDefault="004570CB" w:rsidP="004570CB">
      <w:pPr>
        <w:numPr>
          <w:ilvl w:val="0"/>
          <w:numId w:val="10"/>
        </w:numPr>
        <w:tabs>
          <w:tab w:val="left" w:pos="562"/>
        </w:tabs>
        <w:spacing w:line="239" w:lineRule="auto"/>
        <w:ind w:left="562" w:hanging="562"/>
        <w:rPr>
          <w:rFonts w:eastAsia="Times New Roman"/>
        </w:rPr>
      </w:pPr>
      <w:r>
        <w:rPr>
          <w:rFonts w:eastAsia="Times New Roman"/>
        </w:rPr>
        <w:t>jeigu po operacijos blogai gyja žaizda,</w:t>
      </w:r>
    </w:p>
    <w:p w:rsidR="004570CB" w:rsidRDefault="004570CB" w:rsidP="004570CB">
      <w:pPr>
        <w:numPr>
          <w:ilvl w:val="0"/>
          <w:numId w:val="10"/>
        </w:numPr>
        <w:tabs>
          <w:tab w:val="left" w:pos="562"/>
        </w:tabs>
        <w:ind w:left="562" w:hanging="562"/>
        <w:rPr>
          <w:rFonts w:eastAsia="Times New Roman"/>
        </w:rPr>
      </w:pPr>
      <w:r>
        <w:rPr>
          <w:rFonts w:eastAsia="Times New Roman"/>
        </w:rPr>
        <w:t>jeigu Jūs operuojama(s).</w:t>
      </w:r>
    </w:p>
    <w:p w:rsidR="004570CB" w:rsidRDefault="004570CB" w:rsidP="004570CB">
      <w:pPr>
        <w:spacing w:line="200" w:lineRule="exact"/>
        <w:rPr>
          <w:sz w:val="20"/>
          <w:szCs w:val="20"/>
        </w:rPr>
      </w:pPr>
    </w:p>
    <w:p w:rsidR="004570CB" w:rsidRDefault="004570CB" w:rsidP="004570CB">
      <w:pPr>
        <w:spacing w:line="200" w:lineRule="exact"/>
        <w:rPr>
          <w:sz w:val="20"/>
          <w:szCs w:val="20"/>
        </w:rPr>
      </w:pPr>
    </w:p>
    <w:p w:rsidR="004570CB" w:rsidRDefault="004570CB" w:rsidP="004570CB">
      <w:pPr>
        <w:spacing w:line="230" w:lineRule="exact"/>
        <w:rPr>
          <w:sz w:val="20"/>
          <w:szCs w:val="20"/>
        </w:rPr>
      </w:pPr>
    </w:p>
    <w:p w:rsidR="004570CB" w:rsidRDefault="004570CB" w:rsidP="004570CB">
      <w:pPr>
        <w:ind w:right="345"/>
        <w:jc w:val="center"/>
        <w:rPr>
          <w:sz w:val="20"/>
          <w:szCs w:val="20"/>
        </w:rPr>
      </w:pPr>
      <w:r>
        <w:rPr>
          <w:rFonts w:ascii="Arial" w:eastAsia="Arial" w:hAnsi="Arial" w:cs="Arial"/>
          <w:sz w:val="16"/>
          <w:szCs w:val="16"/>
        </w:rPr>
        <w:t>74</w:t>
      </w:r>
    </w:p>
    <w:p w:rsidR="004570CB" w:rsidRDefault="004570CB" w:rsidP="004570CB">
      <w:pPr>
        <w:sectPr w:rsidR="004570CB">
          <w:pgSz w:w="11900" w:h="16838"/>
          <w:pgMar w:top="1356" w:right="1440" w:bottom="192" w:left="1418" w:header="0" w:footer="0" w:gutter="0"/>
          <w:cols w:space="720" w:equalWidth="0">
            <w:col w:w="9048"/>
          </w:cols>
        </w:sectPr>
      </w:pPr>
    </w:p>
    <w:p w:rsidR="004570CB" w:rsidRDefault="004570CB" w:rsidP="004570CB">
      <w:pPr>
        <w:ind w:left="2"/>
        <w:rPr>
          <w:sz w:val="20"/>
          <w:szCs w:val="20"/>
        </w:rPr>
      </w:pPr>
      <w:bookmarkStart w:id="3" w:name="page75"/>
      <w:bookmarkEnd w:id="3"/>
      <w:r>
        <w:rPr>
          <w:rFonts w:eastAsia="Times New Roman"/>
          <w:b/>
          <w:bCs/>
        </w:rPr>
        <w:t>Avastin reikia išvis nebevartoti, jeigu paaiškėja, kad:</w:t>
      </w:r>
    </w:p>
    <w:p w:rsidR="004570CB" w:rsidRDefault="004570CB" w:rsidP="004570CB">
      <w:pPr>
        <w:numPr>
          <w:ilvl w:val="0"/>
          <w:numId w:val="11"/>
        </w:numPr>
        <w:tabs>
          <w:tab w:val="left" w:pos="562"/>
        </w:tabs>
        <w:ind w:left="562" w:right="126" w:hanging="562"/>
        <w:rPr>
          <w:rFonts w:eastAsia="Times New Roman"/>
        </w:rPr>
      </w:pPr>
      <w:r>
        <w:rPr>
          <w:rFonts w:eastAsia="Times New Roman"/>
        </w:rPr>
        <w:t>yra labai padidėjęs kraujospūdis, kurio negalima sunorminti kraujospūdį mažinančiais vaistais; arba kraujospūdis labai padidėja staiga,</w:t>
      </w:r>
    </w:p>
    <w:p w:rsidR="004570CB" w:rsidRDefault="004570CB" w:rsidP="004570CB">
      <w:pPr>
        <w:numPr>
          <w:ilvl w:val="0"/>
          <w:numId w:val="11"/>
        </w:numPr>
        <w:tabs>
          <w:tab w:val="left" w:pos="562"/>
        </w:tabs>
        <w:spacing w:line="239" w:lineRule="auto"/>
        <w:ind w:left="562" w:hanging="562"/>
        <w:rPr>
          <w:rFonts w:eastAsia="Times New Roman"/>
        </w:rPr>
      </w:pPr>
      <w:r>
        <w:rPr>
          <w:rFonts w:eastAsia="Times New Roman"/>
        </w:rPr>
        <w:t>šlapime yra baltymo, taip pat atsirado pabrinkimų;</w:t>
      </w:r>
    </w:p>
    <w:p w:rsidR="004570CB" w:rsidRDefault="004570CB" w:rsidP="004570CB">
      <w:pPr>
        <w:numPr>
          <w:ilvl w:val="0"/>
          <w:numId w:val="11"/>
        </w:numPr>
        <w:tabs>
          <w:tab w:val="left" w:pos="562"/>
        </w:tabs>
        <w:ind w:left="562" w:hanging="562"/>
        <w:rPr>
          <w:rFonts w:eastAsia="Times New Roman"/>
        </w:rPr>
      </w:pPr>
      <w:r>
        <w:rPr>
          <w:rFonts w:eastAsia="Times New Roman"/>
        </w:rPr>
        <w:t>prakiuro žarna,</w:t>
      </w:r>
    </w:p>
    <w:p w:rsidR="004570CB" w:rsidRDefault="004570CB" w:rsidP="004570CB">
      <w:pPr>
        <w:spacing w:line="1" w:lineRule="exact"/>
        <w:rPr>
          <w:rFonts w:eastAsia="Times New Roman"/>
        </w:rPr>
      </w:pPr>
    </w:p>
    <w:p w:rsidR="004570CB" w:rsidRDefault="004570CB" w:rsidP="004570CB">
      <w:pPr>
        <w:numPr>
          <w:ilvl w:val="0"/>
          <w:numId w:val="11"/>
        </w:numPr>
        <w:tabs>
          <w:tab w:val="left" w:pos="562"/>
        </w:tabs>
        <w:spacing w:line="239" w:lineRule="auto"/>
        <w:ind w:left="562" w:right="26" w:hanging="562"/>
        <w:rPr>
          <w:rFonts w:eastAsia="Times New Roman"/>
        </w:rPr>
      </w:pPr>
      <w:r>
        <w:rPr>
          <w:rFonts w:eastAsia="Times New Roman"/>
        </w:rPr>
        <w:t>susidarė nenormalus į vamzdelį panašus kanalas ar praėjimas (fistulė) tarp trachėjos ir stemplės, tarp vidaus organų ir odos, tarp makšties ir kurios nors žarnyno dalies arba tarp kitų audinių, kurie normaliai nesijungia, ir kas, Jūsų gydytojo nuomone, yra pavojinga,</w:t>
      </w:r>
    </w:p>
    <w:p w:rsidR="004570CB" w:rsidRDefault="004570CB" w:rsidP="004570CB">
      <w:pPr>
        <w:spacing w:line="2" w:lineRule="exact"/>
        <w:rPr>
          <w:rFonts w:eastAsia="Times New Roman"/>
        </w:rPr>
      </w:pPr>
    </w:p>
    <w:p w:rsidR="004570CB" w:rsidRDefault="004570CB" w:rsidP="004570CB">
      <w:pPr>
        <w:numPr>
          <w:ilvl w:val="0"/>
          <w:numId w:val="11"/>
        </w:numPr>
        <w:tabs>
          <w:tab w:val="left" w:pos="562"/>
        </w:tabs>
        <w:spacing w:line="239" w:lineRule="auto"/>
        <w:ind w:left="562" w:hanging="562"/>
        <w:rPr>
          <w:rFonts w:eastAsia="Times New Roman"/>
        </w:rPr>
      </w:pPr>
      <w:r>
        <w:rPr>
          <w:rFonts w:eastAsia="Times New Roman"/>
        </w:rPr>
        <w:t>išsivystė sunki odos ir poodinio audinio infekcija,</w:t>
      </w:r>
    </w:p>
    <w:p w:rsidR="004570CB" w:rsidRDefault="004570CB" w:rsidP="004570CB">
      <w:pPr>
        <w:numPr>
          <w:ilvl w:val="0"/>
          <w:numId w:val="11"/>
        </w:numPr>
        <w:tabs>
          <w:tab w:val="left" w:pos="562"/>
        </w:tabs>
        <w:ind w:left="562" w:hanging="562"/>
        <w:rPr>
          <w:rFonts w:eastAsia="Times New Roman"/>
        </w:rPr>
      </w:pPr>
      <w:r>
        <w:rPr>
          <w:rFonts w:eastAsia="Times New Roman"/>
        </w:rPr>
        <w:t>arterijose yra kraujo krešulys,</w:t>
      </w:r>
    </w:p>
    <w:p w:rsidR="004570CB" w:rsidRDefault="004570CB" w:rsidP="004570CB">
      <w:pPr>
        <w:spacing w:line="1" w:lineRule="exact"/>
        <w:rPr>
          <w:rFonts w:eastAsia="Times New Roman"/>
        </w:rPr>
      </w:pPr>
    </w:p>
    <w:p w:rsidR="004570CB" w:rsidRDefault="004570CB" w:rsidP="004570CB">
      <w:pPr>
        <w:numPr>
          <w:ilvl w:val="0"/>
          <w:numId w:val="11"/>
        </w:numPr>
        <w:tabs>
          <w:tab w:val="left" w:pos="562"/>
        </w:tabs>
        <w:spacing w:line="239" w:lineRule="auto"/>
        <w:ind w:left="562" w:hanging="562"/>
        <w:rPr>
          <w:rFonts w:eastAsia="Times New Roman"/>
        </w:rPr>
      </w:pPr>
      <w:r>
        <w:rPr>
          <w:rFonts w:eastAsia="Times New Roman"/>
        </w:rPr>
        <w:t>susidarė krešulys plaučių kraujagyslėse,</w:t>
      </w:r>
    </w:p>
    <w:p w:rsidR="004570CB" w:rsidRDefault="004570CB" w:rsidP="004570CB">
      <w:pPr>
        <w:numPr>
          <w:ilvl w:val="0"/>
          <w:numId w:val="11"/>
        </w:numPr>
        <w:tabs>
          <w:tab w:val="left" w:pos="562"/>
        </w:tabs>
        <w:ind w:left="562" w:hanging="562"/>
        <w:rPr>
          <w:rFonts w:eastAsia="Times New Roman"/>
        </w:rPr>
      </w:pPr>
      <w:r>
        <w:rPr>
          <w:rFonts w:eastAsia="Times New Roman"/>
        </w:rPr>
        <w:t>atsirado bet koks gausus kraujavimas.</w:t>
      </w:r>
    </w:p>
    <w:p w:rsidR="004570CB" w:rsidRDefault="004570CB" w:rsidP="004570CB">
      <w:pPr>
        <w:spacing w:line="252" w:lineRule="exact"/>
        <w:rPr>
          <w:sz w:val="20"/>
          <w:szCs w:val="20"/>
        </w:rPr>
      </w:pPr>
    </w:p>
    <w:p w:rsidR="004570CB" w:rsidRDefault="004570CB" w:rsidP="004570CB">
      <w:pPr>
        <w:ind w:left="2"/>
        <w:rPr>
          <w:sz w:val="20"/>
          <w:szCs w:val="20"/>
        </w:rPr>
      </w:pPr>
      <w:r>
        <w:rPr>
          <w:rFonts w:eastAsia="Times New Roman"/>
          <w:b/>
          <w:bCs/>
        </w:rPr>
        <w:t>Ką daryti pavartojus per didelę Avastin dozę?</w:t>
      </w:r>
    </w:p>
    <w:p w:rsidR="004570CB" w:rsidRDefault="004570CB" w:rsidP="004570CB">
      <w:pPr>
        <w:numPr>
          <w:ilvl w:val="0"/>
          <w:numId w:val="12"/>
        </w:numPr>
        <w:tabs>
          <w:tab w:val="left" w:pos="562"/>
        </w:tabs>
        <w:spacing w:line="281" w:lineRule="auto"/>
        <w:ind w:left="562" w:right="286" w:hanging="562"/>
        <w:rPr>
          <w:rFonts w:eastAsia="Times New Roman"/>
        </w:rPr>
      </w:pPr>
      <w:r>
        <w:rPr>
          <w:rFonts w:eastAsia="Times New Roman"/>
        </w:rPr>
        <w:t>Jums gali atsirasti sunki migrena. Jei taip atsitiktų, turite nedelsdami kreiptis į savo gydytoją, vaistininką arba slaugytoją.</w:t>
      </w:r>
    </w:p>
    <w:p w:rsidR="004570CB" w:rsidRDefault="004570CB" w:rsidP="004570CB">
      <w:pPr>
        <w:spacing w:line="167" w:lineRule="exact"/>
        <w:rPr>
          <w:sz w:val="20"/>
          <w:szCs w:val="20"/>
        </w:rPr>
      </w:pPr>
    </w:p>
    <w:p w:rsidR="004570CB" w:rsidRDefault="004570CB" w:rsidP="004570CB">
      <w:pPr>
        <w:ind w:left="2"/>
        <w:rPr>
          <w:sz w:val="20"/>
          <w:szCs w:val="20"/>
        </w:rPr>
      </w:pPr>
      <w:r>
        <w:rPr>
          <w:rFonts w:eastAsia="Times New Roman"/>
          <w:b/>
          <w:bCs/>
        </w:rPr>
        <w:t>Pamiršus pavartoti Avastin</w:t>
      </w:r>
    </w:p>
    <w:p w:rsidR="004570CB" w:rsidRDefault="004570CB" w:rsidP="004570CB">
      <w:pPr>
        <w:numPr>
          <w:ilvl w:val="0"/>
          <w:numId w:val="13"/>
        </w:numPr>
        <w:tabs>
          <w:tab w:val="left" w:pos="562"/>
        </w:tabs>
        <w:spacing w:line="279" w:lineRule="auto"/>
        <w:ind w:left="562" w:right="346" w:hanging="562"/>
        <w:rPr>
          <w:rFonts w:eastAsia="Times New Roman"/>
        </w:rPr>
      </w:pPr>
      <w:r>
        <w:rPr>
          <w:rFonts w:eastAsia="Times New Roman"/>
        </w:rPr>
        <w:t>Kada Jums reikia vartoti kitą Avastin dozę, nuspręs Jūsų gydytojas. Turite tai aptarti su savo gydytoju.</w:t>
      </w:r>
    </w:p>
    <w:p w:rsidR="004570CB" w:rsidRDefault="004570CB" w:rsidP="004570CB">
      <w:pPr>
        <w:spacing w:line="169" w:lineRule="exact"/>
        <w:rPr>
          <w:sz w:val="20"/>
          <w:szCs w:val="20"/>
        </w:rPr>
      </w:pPr>
    </w:p>
    <w:p w:rsidR="004570CB" w:rsidRDefault="004570CB" w:rsidP="004570CB">
      <w:pPr>
        <w:ind w:left="2"/>
        <w:rPr>
          <w:sz w:val="20"/>
          <w:szCs w:val="20"/>
        </w:rPr>
      </w:pPr>
      <w:r>
        <w:rPr>
          <w:rFonts w:eastAsia="Times New Roman"/>
          <w:b/>
          <w:bCs/>
        </w:rPr>
        <w:t>Nustojus vartoti Avastin</w:t>
      </w:r>
    </w:p>
    <w:p w:rsidR="004570CB" w:rsidRDefault="004570CB" w:rsidP="004570CB">
      <w:pPr>
        <w:spacing w:line="281" w:lineRule="auto"/>
        <w:ind w:left="2" w:right="406"/>
        <w:rPr>
          <w:sz w:val="20"/>
          <w:szCs w:val="20"/>
        </w:rPr>
      </w:pPr>
      <w:r>
        <w:rPr>
          <w:rFonts w:eastAsia="Times New Roman"/>
        </w:rPr>
        <w:t>Kai gydyti Avastin preparatu liaujamasi, poveikis naviko augimui gali baigtis. Nenustokite vartoti Avastin, nebent taip daryti patartų Jūsų gydytojas.</w:t>
      </w:r>
    </w:p>
    <w:p w:rsidR="004570CB" w:rsidRDefault="004570CB" w:rsidP="004570CB">
      <w:pPr>
        <w:spacing w:line="168" w:lineRule="exact"/>
        <w:rPr>
          <w:sz w:val="20"/>
          <w:szCs w:val="20"/>
        </w:rPr>
      </w:pPr>
    </w:p>
    <w:p w:rsidR="004570CB" w:rsidRDefault="004570CB" w:rsidP="004570CB">
      <w:pPr>
        <w:spacing w:line="279" w:lineRule="auto"/>
        <w:ind w:left="2" w:right="946"/>
        <w:rPr>
          <w:sz w:val="20"/>
          <w:szCs w:val="20"/>
        </w:rPr>
      </w:pPr>
      <w:r>
        <w:rPr>
          <w:rFonts w:eastAsia="Times New Roman"/>
        </w:rPr>
        <w:t>Jeigu kiltų daugiau klausimų dėl šio vaisto vartojimo, kreipkitės į gydytoją, vaistininką arba slaugytoją.</w:t>
      </w:r>
    </w:p>
    <w:p w:rsidR="004570CB" w:rsidRDefault="004570CB" w:rsidP="004570CB">
      <w:pPr>
        <w:spacing w:line="200" w:lineRule="exact"/>
        <w:rPr>
          <w:sz w:val="20"/>
          <w:szCs w:val="20"/>
        </w:rPr>
      </w:pPr>
    </w:p>
    <w:p w:rsidR="004570CB" w:rsidRDefault="004570CB" w:rsidP="004570CB">
      <w:pPr>
        <w:spacing w:line="223" w:lineRule="exact"/>
        <w:rPr>
          <w:sz w:val="20"/>
          <w:szCs w:val="20"/>
        </w:rPr>
      </w:pPr>
    </w:p>
    <w:p w:rsidR="004570CB" w:rsidRDefault="004570CB" w:rsidP="004570CB">
      <w:pPr>
        <w:numPr>
          <w:ilvl w:val="0"/>
          <w:numId w:val="14"/>
        </w:numPr>
        <w:tabs>
          <w:tab w:val="left" w:pos="562"/>
        </w:tabs>
        <w:ind w:left="562" w:hanging="562"/>
        <w:rPr>
          <w:rFonts w:eastAsia="Times New Roman"/>
          <w:b/>
          <w:bCs/>
        </w:rPr>
      </w:pPr>
      <w:r>
        <w:rPr>
          <w:rFonts w:eastAsia="Times New Roman"/>
          <w:b/>
          <w:bCs/>
        </w:rPr>
        <w:t>Galimas šalutinis poveikis</w:t>
      </w:r>
    </w:p>
    <w:p w:rsidR="004570CB" w:rsidRDefault="004570CB" w:rsidP="004570CB">
      <w:pPr>
        <w:spacing w:line="252" w:lineRule="exact"/>
        <w:rPr>
          <w:sz w:val="20"/>
          <w:szCs w:val="20"/>
        </w:rPr>
      </w:pPr>
    </w:p>
    <w:p w:rsidR="004570CB" w:rsidRDefault="004570CB" w:rsidP="004570CB">
      <w:pPr>
        <w:ind w:left="2"/>
        <w:rPr>
          <w:sz w:val="20"/>
          <w:szCs w:val="20"/>
        </w:rPr>
      </w:pPr>
      <w:r>
        <w:rPr>
          <w:rFonts w:eastAsia="Times New Roman"/>
        </w:rPr>
        <w:t>Šis vaistas, kaip ir visi kiti, gali sukelti šalutinį poveikį, nors jis pasireiškia ne visiems žmonėms.</w:t>
      </w:r>
    </w:p>
    <w:p w:rsidR="004570CB" w:rsidRDefault="004570CB" w:rsidP="004570CB">
      <w:pPr>
        <w:spacing w:line="253" w:lineRule="exact"/>
        <w:rPr>
          <w:sz w:val="20"/>
          <w:szCs w:val="20"/>
        </w:rPr>
      </w:pPr>
    </w:p>
    <w:p w:rsidR="004570CB" w:rsidRDefault="004570CB" w:rsidP="004570CB">
      <w:pPr>
        <w:spacing w:line="279" w:lineRule="auto"/>
        <w:ind w:left="2" w:right="826"/>
        <w:rPr>
          <w:sz w:val="20"/>
          <w:szCs w:val="20"/>
        </w:rPr>
      </w:pPr>
      <w:r>
        <w:rPr>
          <w:rFonts w:eastAsia="Times New Roman"/>
        </w:rPr>
        <w:t>Jeigu pasireiškė šalutinis poveikis, įskaitant šiame lapelyje nenurodytą, pasakykite gydytojui, vaistininkui arba slaugytojui.</w:t>
      </w:r>
    </w:p>
    <w:p w:rsidR="004570CB" w:rsidRDefault="004570CB" w:rsidP="004570CB">
      <w:pPr>
        <w:spacing w:line="170" w:lineRule="exact"/>
        <w:rPr>
          <w:sz w:val="20"/>
          <w:szCs w:val="20"/>
        </w:rPr>
      </w:pPr>
    </w:p>
    <w:p w:rsidR="004570CB" w:rsidRDefault="004570CB" w:rsidP="004570CB">
      <w:pPr>
        <w:spacing w:line="306" w:lineRule="auto"/>
        <w:ind w:left="2" w:right="1146"/>
        <w:jc w:val="both"/>
        <w:rPr>
          <w:sz w:val="20"/>
          <w:szCs w:val="20"/>
        </w:rPr>
      </w:pPr>
      <w:r>
        <w:rPr>
          <w:rFonts w:eastAsia="Times New Roman"/>
          <w:sz w:val="21"/>
          <w:szCs w:val="21"/>
        </w:rPr>
        <w:t>Toliau nurodytas šalutinis poveikis, kuris pastebėtas, kai Avastin buvo vartojama kartu su chemoterapiniais vaistais. Tai nebūtinai reiškia, kad šį šalutinį poveikį sukėlė tik Avastin.</w:t>
      </w:r>
    </w:p>
    <w:p w:rsidR="004570CB" w:rsidRDefault="004570CB" w:rsidP="004570CB">
      <w:pPr>
        <w:spacing w:line="144" w:lineRule="exact"/>
        <w:rPr>
          <w:sz w:val="20"/>
          <w:szCs w:val="20"/>
        </w:rPr>
      </w:pPr>
    </w:p>
    <w:p w:rsidR="004570CB" w:rsidRDefault="004570CB" w:rsidP="004570CB">
      <w:pPr>
        <w:ind w:left="2"/>
        <w:rPr>
          <w:sz w:val="20"/>
          <w:szCs w:val="20"/>
        </w:rPr>
      </w:pPr>
      <w:r>
        <w:rPr>
          <w:rFonts w:eastAsia="Times New Roman"/>
          <w:b/>
          <w:bCs/>
        </w:rPr>
        <w:t>Alerginės reakcijos</w:t>
      </w:r>
    </w:p>
    <w:p w:rsidR="004570CB" w:rsidRDefault="004570CB" w:rsidP="004570CB">
      <w:pPr>
        <w:spacing w:line="253" w:lineRule="auto"/>
        <w:ind w:left="2" w:right="606"/>
        <w:rPr>
          <w:sz w:val="20"/>
          <w:szCs w:val="20"/>
        </w:rPr>
      </w:pPr>
      <w:r>
        <w:rPr>
          <w:rFonts w:eastAsia="Times New Roman"/>
        </w:rPr>
        <w:t>Jeigu Jums pasireiškė alerginė reakcija, nedelsdami kreipkitės į savo gydytoją ar kitą sveikatos priežiūros specialistą. Tokios reakcijos požymiai gali būti pasunkėjęs kvėpavimas ar krūtinės skausmas. Be to, Jums gali atsirasti odos raudonis ar išbėrimas, šiurpulys ir drebulys, pasireikšti pykinimas ar vėmimas.</w:t>
      </w:r>
    </w:p>
    <w:p w:rsidR="004570CB" w:rsidRDefault="004570CB" w:rsidP="004570CB">
      <w:pPr>
        <w:spacing w:line="199" w:lineRule="exact"/>
        <w:rPr>
          <w:sz w:val="20"/>
          <w:szCs w:val="20"/>
        </w:rPr>
      </w:pPr>
    </w:p>
    <w:p w:rsidR="004570CB" w:rsidRDefault="004570CB" w:rsidP="004570CB">
      <w:pPr>
        <w:spacing w:line="288" w:lineRule="auto"/>
        <w:ind w:left="2" w:right="566"/>
        <w:rPr>
          <w:sz w:val="20"/>
          <w:szCs w:val="20"/>
        </w:rPr>
      </w:pPr>
      <w:r>
        <w:rPr>
          <w:rFonts w:eastAsia="Times New Roman"/>
          <w:b/>
          <w:bCs/>
        </w:rPr>
        <w:t>Jeigu Jus kamuoja bet kuris žemiau paminėtas šalutinis poveikis, turite nedelsdami ieškoti gydytojo pagalbos.</w:t>
      </w:r>
    </w:p>
    <w:p w:rsidR="004570CB" w:rsidRDefault="004570CB" w:rsidP="004570CB">
      <w:pPr>
        <w:spacing w:line="146" w:lineRule="exact"/>
        <w:rPr>
          <w:sz w:val="20"/>
          <w:szCs w:val="20"/>
        </w:rPr>
      </w:pPr>
    </w:p>
    <w:p w:rsidR="004570CB" w:rsidRDefault="004570CB" w:rsidP="004570CB">
      <w:pPr>
        <w:spacing w:line="241" w:lineRule="auto"/>
        <w:ind w:left="2" w:right="266"/>
        <w:rPr>
          <w:sz w:val="20"/>
          <w:szCs w:val="20"/>
        </w:rPr>
      </w:pPr>
      <w:r>
        <w:rPr>
          <w:rFonts w:eastAsia="Times New Roman"/>
        </w:rPr>
        <w:t xml:space="preserve">Sunkus šalutinis poveikis, kuris gali atsirasti </w:t>
      </w:r>
      <w:r>
        <w:rPr>
          <w:rFonts w:eastAsia="Times New Roman"/>
          <w:b/>
          <w:bCs/>
        </w:rPr>
        <w:t>labai dažnai</w:t>
      </w:r>
      <w:r>
        <w:rPr>
          <w:rFonts w:eastAsia="Times New Roman"/>
        </w:rPr>
        <w:t xml:space="preserve"> (paveikia daugiau kaip 1 vartotoją iš 10), yra:</w:t>
      </w:r>
    </w:p>
    <w:p w:rsidR="004570CB" w:rsidRDefault="004570CB" w:rsidP="004570CB">
      <w:pPr>
        <w:spacing w:line="1" w:lineRule="exact"/>
        <w:rPr>
          <w:sz w:val="20"/>
          <w:szCs w:val="20"/>
        </w:rPr>
      </w:pPr>
    </w:p>
    <w:p w:rsidR="004570CB" w:rsidRDefault="004570CB" w:rsidP="004570CB">
      <w:pPr>
        <w:numPr>
          <w:ilvl w:val="0"/>
          <w:numId w:val="15"/>
        </w:numPr>
        <w:tabs>
          <w:tab w:val="left" w:pos="542"/>
        </w:tabs>
        <w:ind w:left="542" w:hanging="542"/>
        <w:rPr>
          <w:rFonts w:eastAsia="Times New Roman"/>
        </w:rPr>
      </w:pPr>
      <w:r>
        <w:rPr>
          <w:rFonts w:eastAsia="Times New Roman"/>
        </w:rPr>
        <w:t>padidėjęs kraujospūdis,</w:t>
      </w:r>
    </w:p>
    <w:p w:rsidR="004570CB" w:rsidRDefault="004570CB" w:rsidP="004570CB">
      <w:pPr>
        <w:numPr>
          <w:ilvl w:val="0"/>
          <w:numId w:val="15"/>
        </w:numPr>
        <w:tabs>
          <w:tab w:val="left" w:pos="542"/>
        </w:tabs>
        <w:ind w:left="542" w:hanging="542"/>
        <w:rPr>
          <w:rFonts w:eastAsia="Times New Roman"/>
        </w:rPr>
      </w:pPr>
      <w:r>
        <w:rPr>
          <w:rFonts w:eastAsia="Times New Roman"/>
        </w:rPr>
        <w:t>rankų ar kojų sustingimo arba dilgčiojimo jutimas,</w:t>
      </w:r>
    </w:p>
    <w:p w:rsidR="004570CB" w:rsidRDefault="004570CB" w:rsidP="004570CB">
      <w:pPr>
        <w:spacing w:line="1" w:lineRule="exact"/>
        <w:rPr>
          <w:rFonts w:eastAsia="Times New Roman"/>
        </w:rPr>
      </w:pPr>
    </w:p>
    <w:p w:rsidR="004570CB" w:rsidRDefault="004570CB" w:rsidP="004570CB">
      <w:pPr>
        <w:numPr>
          <w:ilvl w:val="0"/>
          <w:numId w:val="15"/>
        </w:numPr>
        <w:tabs>
          <w:tab w:val="left" w:pos="542"/>
        </w:tabs>
        <w:spacing w:line="260" w:lineRule="auto"/>
        <w:ind w:left="542" w:right="346" w:hanging="542"/>
        <w:rPr>
          <w:rFonts w:eastAsia="Times New Roman"/>
        </w:rPr>
      </w:pPr>
      <w:r>
        <w:rPr>
          <w:rFonts w:eastAsia="Times New Roman"/>
        </w:rPr>
        <w:t>sumažėjęs kraujo kūnelių skaičius, įskaitant baltųjų kraujo kūnelių, kurie padeda kovoti su infekcijomis, (kurios gali būti lydimos karščiavimo), ir kūnelių, kurie padeda kraujui krešėti, skaičių,</w:t>
      </w:r>
    </w:p>
    <w:p w:rsidR="004570CB" w:rsidRDefault="004570CB" w:rsidP="004570CB">
      <w:pPr>
        <w:sectPr w:rsidR="004570CB">
          <w:pgSz w:w="11900" w:h="16838"/>
          <w:pgMar w:top="1103" w:right="1440" w:bottom="192" w:left="1418" w:header="0" w:footer="0" w:gutter="0"/>
          <w:cols w:space="720" w:equalWidth="0">
            <w:col w:w="9049"/>
          </w:cols>
        </w:sectPr>
      </w:pPr>
    </w:p>
    <w:p w:rsidR="004570CB" w:rsidRDefault="004570CB" w:rsidP="004570CB">
      <w:pPr>
        <w:spacing w:line="200" w:lineRule="exact"/>
        <w:rPr>
          <w:sz w:val="20"/>
          <w:szCs w:val="20"/>
        </w:rPr>
      </w:pPr>
    </w:p>
    <w:p w:rsidR="004570CB" w:rsidRDefault="004570CB" w:rsidP="004570CB">
      <w:pPr>
        <w:spacing w:line="200" w:lineRule="exact"/>
        <w:rPr>
          <w:sz w:val="20"/>
          <w:szCs w:val="20"/>
        </w:rPr>
      </w:pPr>
    </w:p>
    <w:p w:rsidR="004570CB" w:rsidRDefault="004570CB" w:rsidP="004570CB">
      <w:pPr>
        <w:spacing w:line="200" w:lineRule="exact"/>
        <w:rPr>
          <w:sz w:val="20"/>
          <w:szCs w:val="20"/>
        </w:rPr>
      </w:pPr>
    </w:p>
    <w:p w:rsidR="004570CB" w:rsidRDefault="004570CB" w:rsidP="004570CB">
      <w:pPr>
        <w:spacing w:line="219" w:lineRule="exact"/>
        <w:rPr>
          <w:sz w:val="20"/>
          <w:szCs w:val="20"/>
        </w:rPr>
      </w:pPr>
    </w:p>
    <w:p w:rsidR="004570CB" w:rsidRDefault="004570CB" w:rsidP="004570CB">
      <w:pPr>
        <w:ind w:right="344"/>
        <w:jc w:val="center"/>
        <w:rPr>
          <w:sz w:val="20"/>
          <w:szCs w:val="20"/>
        </w:rPr>
      </w:pPr>
      <w:r>
        <w:rPr>
          <w:rFonts w:ascii="Arial" w:eastAsia="Arial" w:hAnsi="Arial" w:cs="Arial"/>
          <w:sz w:val="16"/>
          <w:szCs w:val="16"/>
        </w:rPr>
        <w:t>75</w:t>
      </w:r>
    </w:p>
    <w:p w:rsidR="004570CB" w:rsidRDefault="004570CB" w:rsidP="004570CB">
      <w:pPr>
        <w:sectPr w:rsidR="004570CB">
          <w:type w:val="continuous"/>
          <w:pgSz w:w="11900" w:h="16838"/>
          <w:pgMar w:top="1103" w:right="1440" w:bottom="192" w:left="1418" w:header="0" w:footer="0" w:gutter="0"/>
          <w:cols w:space="720" w:equalWidth="0">
            <w:col w:w="9049"/>
          </w:cols>
        </w:sectPr>
      </w:pPr>
    </w:p>
    <w:p w:rsidR="004570CB" w:rsidRDefault="004570CB" w:rsidP="004570CB">
      <w:pPr>
        <w:numPr>
          <w:ilvl w:val="0"/>
          <w:numId w:val="16"/>
        </w:numPr>
        <w:tabs>
          <w:tab w:val="left" w:pos="542"/>
        </w:tabs>
        <w:ind w:left="542" w:hanging="542"/>
        <w:rPr>
          <w:rFonts w:eastAsia="Times New Roman"/>
        </w:rPr>
      </w:pPr>
      <w:bookmarkStart w:id="4" w:name="page76"/>
      <w:bookmarkEnd w:id="4"/>
      <w:r>
        <w:rPr>
          <w:rFonts w:eastAsia="Times New Roman"/>
        </w:rPr>
        <w:t>silpnumo pojūtis ar energijos neturėjimas,</w:t>
      </w:r>
    </w:p>
    <w:p w:rsidR="004570CB" w:rsidRDefault="004570CB" w:rsidP="004570CB">
      <w:pPr>
        <w:spacing w:line="1" w:lineRule="exact"/>
        <w:rPr>
          <w:rFonts w:eastAsia="Times New Roman"/>
        </w:rPr>
      </w:pPr>
    </w:p>
    <w:p w:rsidR="004570CB" w:rsidRDefault="004570CB" w:rsidP="004570CB">
      <w:pPr>
        <w:numPr>
          <w:ilvl w:val="0"/>
          <w:numId w:val="16"/>
        </w:numPr>
        <w:tabs>
          <w:tab w:val="left" w:pos="542"/>
        </w:tabs>
        <w:spacing w:line="239" w:lineRule="auto"/>
        <w:ind w:left="542" w:hanging="542"/>
        <w:rPr>
          <w:rFonts w:eastAsia="Times New Roman"/>
        </w:rPr>
      </w:pPr>
      <w:r>
        <w:rPr>
          <w:rFonts w:eastAsia="Times New Roman"/>
        </w:rPr>
        <w:t>nuovargis,</w:t>
      </w:r>
    </w:p>
    <w:p w:rsidR="004570CB" w:rsidRDefault="004570CB" w:rsidP="004570CB">
      <w:pPr>
        <w:numPr>
          <w:ilvl w:val="0"/>
          <w:numId w:val="16"/>
        </w:numPr>
        <w:tabs>
          <w:tab w:val="left" w:pos="542"/>
        </w:tabs>
        <w:ind w:left="542" w:hanging="542"/>
        <w:rPr>
          <w:rFonts w:eastAsia="Times New Roman"/>
        </w:rPr>
      </w:pPr>
      <w:r>
        <w:rPr>
          <w:rFonts w:eastAsia="Times New Roman"/>
        </w:rPr>
        <w:t>viduriavimas, pykinimas, vėmimas ir pilvo skausmas.</w:t>
      </w:r>
    </w:p>
    <w:p w:rsidR="004570CB" w:rsidRDefault="004570CB" w:rsidP="004570CB">
      <w:pPr>
        <w:spacing w:line="250" w:lineRule="exact"/>
        <w:rPr>
          <w:sz w:val="20"/>
          <w:szCs w:val="20"/>
        </w:rPr>
      </w:pPr>
    </w:p>
    <w:p w:rsidR="004570CB" w:rsidRDefault="004570CB" w:rsidP="004570CB">
      <w:pPr>
        <w:ind w:left="2"/>
        <w:rPr>
          <w:sz w:val="20"/>
          <w:szCs w:val="20"/>
        </w:rPr>
      </w:pPr>
      <w:r>
        <w:rPr>
          <w:rFonts w:eastAsia="Times New Roman"/>
        </w:rPr>
        <w:t xml:space="preserve">Sunkus šalutinis poveikis, kuris gali pasitaikyti </w:t>
      </w:r>
      <w:r>
        <w:rPr>
          <w:rFonts w:eastAsia="Times New Roman"/>
          <w:b/>
          <w:bCs/>
        </w:rPr>
        <w:t>dažnai</w:t>
      </w:r>
      <w:r>
        <w:rPr>
          <w:rFonts w:eastAsia="Times New Roman"/>
        </w:rPr>
        <w:t xml:space="preserve"> (paveikia nuo 1 iki 10 vartotojų iš 100)</w:t>
      </w:r>
      <w:r>
        <w:rPr>
          <w:rFonts w:eastAsia="Times New Roman"/>
          <w:b/>
          <w:bCs/>
        </w:rPr>
        <w:t>,</w:t>
      </w:r>
      <w:r>
        <w:rPr>
          <w:rFonts w:eastAsia="Times New Roman"/>
        </w:rPr>
        <w:t xml:space="preserve"> yra:</w:t>
      </w:r>
    </w:p>
    <w:p w:rsidR="004570CB" w:rsidRDefault="004570CB" w:rsidP="004570CB">
      <w:pPr>
        <w:spacing w:line="4" w:lineRule="exact"/>
        <w:rPr>
          <w:sz w:val="20"/>
          <w:szCs w:val="20"/>
        </w:rPr>
      </w:pPr>
    </w:p>
    <w:p w:rsidR="004570CB" w:rsidRDefault="004570CB" w:rsidP="004570CB">
      <w:pPr>
        <w:numPr>
          <w:ilvl w:val="0"/>
          <w:numId w:val="17"/>
        </w:numPr>
        <w:tabs>
          <w:tab w:val="left" w:pos="562"/>
        </w:tabs>
        <w:ind w:left="562" w:hanging="561"/>
        <w:rPr>
          <w:rFonts w:eastAsia="Times New Roman"/>
        </w:rPr>
      </w:pPr>
      <w:r>
        <w:rPr>
          <w:rFonts w:eastAsia="Times New Roman"/>
        </w:rPr>
        <w:t>žarnos prakiurimas,</w:t>
      </w:r>
    </w:p>
    <w:p w:rsidR="004570CB" w:rsidRDefault="004570CB" w:rsidP="004570CB">
      <w:pPr>
        <w:numPr>
          <w:ilvl w:val="0"/>
          <w:numId w:val="17"/>
        </w:numPr>
        <w:tabs>
          <w:tab w:val="left" w:pos="562"/>
        </w:tabs>
        <w:ind w:left="562" w:right="400" w:hanging="561"/>
        <w:rPr>
          <w:rFonts w:eastAsia="Times New Roman"/>
        </w:rPr>
      </w:pPr>
      <w:r>
        <w:rPr>
          <w:rFonts w:eastAsia="Times New Roman"/>
        </w:rPr>
        <w:t>kraujavimas, įskaitant kraujavimą iš plaučių, kai pacientai serga nesmulkialąsteliniu plaučių vėžiu,</w:t>
      </w:r>
    </w:p>
    <w:p w:rsidR="004570CB" w:rsidRDefault="004570CB" w:rsidP="004570CB">
      <w:pPr>
        <w:numPr>
          <w:ilvl w:val="0"/>
          <w:numId w:val="17"/>
        </w:numPr>
        <w:tabs>
          <w:tab w:val="left" w:pos="562"/>
        </w:tabs>
        <w:spacing w:line="239" w:lineRule="auto"/>
        <w:ind w:left="562" w:hanging="561"/>
        <w:rPr>
          <w:rFonts w:eastAsia="Times New Roman"/>
        </w:rPr>
      </w:pPr>
      <w:r>
        <w:rPr>
          <w:rFonts w:eastAsia="Times New Roman"/>
        </w:rPr>
        <w:t>arterijų užsikimšimas kraujo krešuliu,</w:t>
      </w:r>
    </w:p>
    <w:p w:rsidR="004570CB" w:rsidRDefault="004570CB" w:rsidP="004570CB">
      <w:pPr>
        <w:numPr>
          <w:ilvl w:val="0"/>
          <w:numId w:val="17"/>
        </w:numPr>
        <w:tabs>
          <w:tab w:val="left" w:pos="562"/>
        </w:tabs>
        <w:ind w:left="562" w:hanging="562"/>
        <w:rPr>
          <w:rFonts w:eastAsia="Times New Roman"/>
        </w:rPr>
      </w:pPr>
      <w:r>
        <w:rPr>
          <w:rFonts w:eastAsia="Times New Roman"/>
        </w:rPr>
        <w:t>venų užsikimšimas kraujo krešuliu,</w:t>
      </w:r>
    </w:p>
    <w:p w:rsidR="004570CB" w:rsidRDefault="004570CB" w:rsidP="004570CB">
      <w:pPr>
        <w:spacing w:line="1" w:lineRule="exact"/>
        <w:rPr>
          <w:rFonts w:eastAsia="Times New Roman"/>
        </w:rPr>
      </w:pPr>
    </w:p>
    <w:p w:rsidR="004570CB" w:rsidRDefault="004570CB" w:rsidP="004570CB">
      <w:pPr>
        <w:numPr>
          <w:ilvl w:val="0"/>
          <w:numId w:val="17"/>
        </w:numPr>
        <w:tabs>
          <w:tab w:val="left" w:pos="562"/>
        </w:tabs>
        <w:spacing w:line="239" w:lineRule="auto"/>
        <w:ind w:left="562" w:hanging="562"/>
        <w:rPr>
          <w:rFonts w:eastAsia="Times New Roman"/>
        </w:rPr>
      </w:pPr>
      <w:r>
        <w:rPr>
          <w:rFonts w:eastAsia="Times New Roman"/>
        </w:rPr>
        <w:t>plaučių kraujagyslių užsikimšimas kraujo krešuliu,</w:t>
      </w:r>
    </w:p>
    <w:p w:rsidR="004570CB" w:rsidRDefault="004570CB" w:rsidP="004570CB">
      <w:pPr>
        <w:numPr>
          <w:ilvl w:val="0"/>
          <w:numId w:val="17"/>
        </w:numPr>
        <w:tabs>
          <w:tab w:val="left" w:pos="562"/>
        </w:tabs>
        <w:spacing w:line="239" w:lineRule="auto"/>
        <w:ind w:left="562" w:hanging="562"/>
        <w:rPr>
          <w:rFonts w:eastAsia="Times New Roman"/>
        </w:rPr>
      </w:pPr>
      <w:r>
        <w:rPr>
          <w:rFonts w:eastAsia="Times New Roman"/>
        </w:rPr>
        <w:t>kojų venų užsikimšimas kraujo krešuliu,</w:t>
      </w:r>
    </w:p>
    <w:p w:rsidR="004570CB" w:rsidRDefault="004570CB" w:rsidP="004570CB">
      <w:pPr>
        <w:numPr>
          <w:ilvl w:val="0"/>
          <w:numId w:val="17"/>
        </w:numPr>
        <w:tabs>
          <w:tab w:val="left" w:pos="562"/>
        </w:tabs>
        <w:ind w:left="562" w:hanging="562"/>
        <w:rPr>
          <w:rFonts w:eastAsia="Times New Roman"/>
        </w:rPr>
      </w:pPr>
      <w:r>
        <w:rPr>
          <w:rFonts w:eastAsia="Times New Roman"/>
        </w:rPr>
        <w:t>širdies nepakankamumas,</w:t>
      </w:r>
    </w:p>
    <w:p w:rsidR="004570CB" w:rsidRDefault="004570CB" w:rsidP="004570CB">
      <w:pPr>
        <w:spacing w:line="1" w:lineRule="exact"/>
        <w:rPr>
          <w:rFonts w:eastAsia="Times New Roman"/>
        </w:rPr>
      </w:pPr>
    </w:p>
    <w:p w:rsidR="004570CB" w:rsidRDefault="004570CB" w:rsidP="004570CB">
      <w:pPr>
        <w:numPr>
          <w:ilvl w:val="0"/>
          <w:numId w:val="17"/>
        </w:numPr>
        <w:tabs>
          <w:tab w:val="left" w:pos="542"/>
        </w:tabs>
        <w:spacing w:line="239" w:lineRule="auto"/>
        <w:ind w:left="542" w:hanging="542"/>
        <w:rPr>
          <w:rFonts w:eastAsia="Times New Roman"/>
        </w:rPr>
      </w:pPr>
      <w:r>
        <w:rPr>
          <w:rFonts w:eastAsia="Times New Roman"/>
        </w:rPr>
        <w:t>žaizdos po operacijos nesėkmingas gijimas,</w:t>
      </w:r>
    </w:p>
    <w:p w:rsidR="004570CB" w:rsidRDefault="004570CB" w:rsidP="004570CB">
      <w:pPr>
        <w:numPr>
          <w:ilvl w:val="0"/>
          <w:numId w:val="17"/>
        </w:numPr>
        <w:tabs>
          <w:tab w:val="left" w:pos="542"/>
        </w:tabs>
        <w:ind w:left="542" w:hanging="542"/>
        <w:rPr>
          <w:rFonts w:eastAsia="Times New Roman"/>
        </w:rPr>
      </w:pPr>
      <w:r>
        <w:rPr>
          <w:rFonts w:eastAsia="Times New Roman"/>
        </w:rPr>
        <w:t>pirštų ar pėdų paraudimas, odos lupimasis, jautrumas, skausmas ar pūslių susidarymas,</w:t>
      </w:r>
    </w:p>
    <w:p w:rsidR="004570CB" w:rsidRDefault="004570CB" w:rsidP="004570CB">
      <w:pPr>
        <w:spacing w:line="1" w:lineRule="exact"/>
        <w:rPr>
          <w:rFonts w:eastAsia="Times New Roman"/>
        </w:rPr>
      </w:pPr>
    </w:p>
    <w:p w:rsidR="004570CB" w:rsidRDefault="004570CB" w:rsidP="004570CB">
      <w:pPr>
        <w:numPr>
          <w:ilvl w:val="0"/>
          <w:numId w:val="17"/>
        </w:numPr>
        <w:tabs>
          <w:tab w:val="left" w:pos="542"/>
        </w:tabs>
        <w:spacing w:line="239" w:lineRule="auto"/>
        <w:ind w:left="542" w:hanging="542"/>
        <w:rPr>
          <w:rFonts w:eastAsia="Times New Roman"/>
        </w:rPr>
      </w:pPr>
      <w:r>
        <w:rPr>
          <w:rFonts w:eastAsia="Times New Roman"/>
        </w:rPr>
        <w:t>sumažėjęs raudonųjų kraujo ląstelių skaičius,</w:t>
      </w:r>
    </w:p>
    <w:p w:rsidR="004570CB" w:rsidRDefault="004570CB" w:rsidP="004570CB">
      <w:pPr>
        <w:numPr>
          <w:ilvl w:val="0"/>
          <w:numId w:val="17"/>
        </w:numPr>
        <w:tabs>
          <w:tab w:val="left" w:pos="542"/>
        </w:tabs>
        <w:spacing w:line="239" w:lineRule="auto"/>
        <w:ind w:left="542" w:hanging="542"/>
        <w:rPr>
          <w:rFonts w:eastAsia="Times New Roman"/>
        </w:rPr>
      </w:pPr>
      <w:r>
        <w:rPr>
          <w:rFonts w:eastAsia="Times New Roman"/>
        </w:rPr>
        <w:t>energijos stoka,</w:t>
      </w:r>
    </w:p>
    <w:p w:rsidR="004570CB" w:rsidRDefault="004570CB" w:rsidP="004570CB">
      <w:pPr>
        <w:numPr>
          <w:ilvl w:val="0"/>
          <w:numId w:val="17"/>
        </w:numPr>
        <w:tabs>
          <w:tab w:val="left" w:pos="542"/>
        </w:tabs>
        <w:ind w:left="542" w:hanging="542"/>
        <w:rPr>
          <w:rFonts w:eastAsia="Times New Roman"/>
        </w:rPr>
      </w:pPr>
      <w:r>
        <w:rPr>
          <w:rFonts w:eastAsia="Times New Roman"/>
        </w:rPr>
        <w:t>skrandžio ir žarnyno veiklos sutrikimas,</w:t>
      </w:r>
    </w:p>
    <w:p w:rsidR="004570CB" w:rsidRDefault="004570CB" w:rsidP="004570CB">
      <w:pPr>
        <w:spacing w:line="1" w:lineRule="exact"/>
        <w:rPr>
          <w:rFonts w:eastAsia="Times New Roman"/>
        </w:rPr>
      </w:pPr>
    </w:p>
    <w:p w:rsidR="004570CB" w:rsidRDefault="004570CB" w:rsidP="004570CB">
      <w:pPr>
        <w:numPr>
          <w:ilvl w:val="0"/>
          <w:numId w:val="17"/>
        </w:numPr>
        <w:tabs>
          <w:tab w:val="left" w:pos="542"/>
        </w:tabs>
        <w:spacing w:line="239" w:lineRule="auto"/>
        <w:ind w:left="542" w:hanging="542"/>
        <w:rPr>
          <w:rFonts w:eastAsia="Times New Roman"/>
        </w:rPr>
      </w:pPr>
      <w:r>
        <w:rPr>
          <w:rFonts w:eastAsia="Times New Roman"/>
        </w:rPr>
        <w:t>raumenų ir sąnarių skausmas, raumenų silpnumas,</w:t>
      </w:r>
    </w:p>
    <w:p w:rsidR="004570CB" w:rsidRDefault="004570CB" w:rsidP="004570CB">
      <w:pPr>
        <w:numPr>
          <w:ilvl w:val="0"/>
          <w:numId w:val="17"/>
        </w:numPr>
        <w:tabs>
          <w:tab w:val="left" w:pos="542"/>
        </w:tabs>
        <w:ind w:left="542" w:hanging="542"/>
        <w:rPr>
          <w:rFonts w:eastAsia="Times New Roman"/>
        </w:rPr>
      </w:pPr>
      <w:r>
        <w:rPr>
          <w:rFonts w:eastAsia="Times New Roman"/>
        </w:rPr>
        <w:t>burnos džiūvimas, taip pat troškulys ir (arba) sumažėjęs šlapimo kiekis arba patamsėjęs</w:t>
      </w:r>
    </w:p>
    <w:p w:rsidR="004570CB" w:rsidRDefault="004570CB" w:rsidP="004570CB">
      <w:pPr>
        <w:spacing w:line="1" w:lineRule="exact"/>
        <w:rPr>
          <w:rFonts w:eastAsia="Times New Roman"/>
        </w:rPr>
      </w:pPr>
    </w:p>
    <w:p w:rsidR="004570CB" w:rsidRDefault="004570CB" w:rsidP="004570CB">
      <w:pPr>
        <w:spacing w:line="239" w:lineRule="auto"/>
        <w:ind w:left="542"/>
        <w:rPr>
          <w:rFonts w:eastAsia="Times New Roman"/>
        </w:rPr>
      </w:pPr>
      <w:r>
        <w:rPr>
          <w:rFonts w:eastAsia="Times New Roman"/>
        </w:rPr>
        <w:t>šlapimas,</w:t>
      </w:r>
    </w:p>
    <w:p w:rsidR="004570CB" w:rsidRDefault="004570CB" w:rsidP="004570CB">
      <w:pPr>
        <w:numPr>
          <w:ilvl w:val="0"/>
          <w:numId w:val="17"/>
        </w:numPr>
        <w:tabs>
          <w:tab w:val="left" w:pos="542"/>
        </w:tabs>
        <w:spacing w:line="239" w:lineRule="auto"/>
        <w:ind w:left="542" w:hanging="542"/>
        <w:rPr>
          <w:rFonts w:eastAsia="Times New Roman"/>
        </w:rPr>
      </w:pPr>
      <w:r>
        <w:rPr>
          <w:rFonts w:eastAsia="Times New Roman"/>
        </w:rPr>
        <w:t>burnos ir žarnų, plaučių ir kvėpavimo takų, lytinės sistemos ir šlapimo takų gleivinių uždegimas,</w:t>
      </w:r>
    </w:p>
    <w:p w:rsidR="004570CB" w:rsidRDefault="004570CB" w:rsidP="004570CB">
      <w:pPr>
        <w:numPr>
          <w:ilvl w:val="0"/>
          <w:numId w:val="17"/>
        </w:numPr>
        <w:tabs>
          <w:tab w:val="left" w:pos="542"/>
        </w:tabs>
        <w:ind w:left="542" w:right="900" w:hanging="542"/>
        <w:rPr>
          <w:rFonts w:eastAsia="Times New Roman"/>
        </w:rPr>
      </w:pPr>
      <w:r>
        <w:rPr>
          <w:rFonts w:eastAsia="Times New Roman"/>
        </w:rPr>
        <w:t>opų susidarymas burnoje ar burną su skrandžiu jungiančioje stemplėje, kurios gali būti skausmingos ir sunkinti rijimą,</w:t>
      </w:r>
    </w:p>
    <w:p w:rsidR="004570CB" w:rsidRDefault="004570CB" w:rsidP="004570CB">
      <w:pPr>
        <w:numPr>
          <w:ilvl w:val="0"/>
          <w:numId w:val="17"/>
        </w:numPr>
        <w:tabs>
          <w:tab w:val="left" w:pos="542"/>
        </w:tabs>
        <w:ind w:left="542" w:right="320" w:hanging="541"/>
        <w:rPr>
          <w:rFonts w:eastAsia="Times New Roman"/>
        </w:rPr>
      </w:pPr>
      <w:r>
        <w:rPr>
          <w:rFonts w:eastAsia="Times New Roman"/>
        </w:rPr>
        <w:t>skausmas, įskaitant galvos skausmą, nugaros skausmą ir dubens ar išeinamosios angos srities skausmą,</w:t>
      </w:r>
    </w:p>
    <w:p w:rsidR="004570CB" w:rsidRDefault="004570CB" w:rsidP="004570CB">
      <w:pPr>
        <w:numPr>
          <w:ilvl w:val="0"/>
          <w:numId w:val="17"/>
        </w:numPr>
        <w:tabs>
          <w:tab w:val="left" w:pos="542"/>
        </w:tabs>
        <w:ind w:left="542" w:hanging="541"/>
        <w:rPr>
          <w:rFonts w:eastAsia="Times New Roman"/>
        </w:rPr>
      </w:pPr>
      <w:r>
        <w:rPr>
          <w:rFonts w:eastAsia="Times New Roman"/>
        </w:rPr>
        <w:t>pūlių susikaupimas vienoje vietoje,</w:t>
      </w:r>
    </w:p>
    <w:p w:rsidR="004570CB" w:rsidRDefault="004570CB" w:rsidP="004570CB">
      <w:pPr>
        <w:spacing w:line="1" w:lineRule="exact"/>
        <w:rPr>
          <w:rFonts w:eastAsia="Times New Roman"/>
        </w:rPr>
      </w:pPr>
    </w:p>
    <w:p w:rsidR="004570CB" w:rsidRDefault="004570CB" w:rsidP="004570CB">
      <w:pPr>
        <w:numPr>
          <w:ilvl w:val="0"/>
          <w:numId w:val="17"/>
        </w:numPr>
        <w:tabs>
          <w:tab w:val="left" w:pos="542"/>
        </w:tabs>
        <w:spacing w:line="239" w:lineRule="auto"/>
        <w:ind w:left="542" w:hanging="541"/>
        <w:rPr>
          <w:rFonts w:eastAsia="Times New Roman"/>
        </w:rPr>
      </w:pPr>
      <w:r>
        <w:rPr>
          <w:rFonts w:eastAsia="Times New Roman"/>
        </w:rPr>
        <w:t>infekcija, ypač kraujo arba šlapimo pūslės infekcija,</w:t>
      </w:r>
    </w:p>
    <w:p w:rsidR="004570CB" w:rsidRDefault="004570CB" w:rsidP="004570CB">
      <w:pPr>
        <w:numPr>
          <w:ilvl w:val="0"/>
          <w:numId w:val="17"/>
        </w:numPr>
        <w:tabs>
          <w:tab w:val="left" w:pos="542"/>
        </w:tabs>
        <w:spacing w:line="239" w:lineRule="auto"/>
        <w:ind w:left="542" w:hanging="541"/>
        <w:rPr>
          <w:rFonts w:eastAsia="Times New Roman"/>
        </w:rPr>
      </w:pPr>
      <w:r>
        <w:rPr>
          <w:rFonts w:eastAsia="Times New Roman"/>
        </w:rPr>
        <w:t>sumažėjęs kraujo pritekėjimas į smegenis ar insultas,</w:t>
      </w:r>
    </w:p>
    <w:p w:rsidR="004570CB" w:rsidRDefault="004570CB" w:rsidP="004570CB">
      <w:pPr>
        <w:numPr>
          <w:ilvl w:val="0"/>
          <w:numId w:val="17"/>
        </w:numPr>
        <w:tabs>
          <w:tab w:val="left" w:pos="542"/>
        </w:tabs>
        <w:ind w:left="542" w:hanging="541"/>
        <w:rPr>
          <w:rFonts w:eastAsia="Times New Roman"/>
        </w:rPr>
      </w:pPr>
      <w:r>
        <w:rPr>
          <w:rFonts w:eastAsia="Times New Roman"/>
        </w:rPr>
        <w:t>mieguistumas,</w:t>
      </w:r>
    </w:p>
    <w:p w:rsidR="004570CB" w:rsidRDefault="004570CB" w:rsidP="004570CB">
      <w:pPr>
        <w:spacing w:line="1" w:lineRule="exact"/>
        <w:rPr>
          <w:rFonts w:eastAsia="Times New Roman"/>
        </w:rPr>
      </w:pPr>
    </w:p>
    <w:p w:rsidR="004570CB" w:rsidRDefault="004570CB" w:rsidP="004570CB">
      <w:pPr>
        <w:numPr>
          <w:ilvl w:val="0"/>
          <w:numId w:val="17"/>
        </w:numPr>
        <w:tabs>
          <w:tab w:val="left" w:pos="542"/>
        </w:tabs>
        <w:spacing w:line="239" w:lineRule="auto"/>
        <w:ind w:left="542" w:hanging="541"/>
        <w:rPr>
          <w:rFonts w:eastAsia="Times New Roman"/>
        </w:rPr>
      </w:pPr>
      <w:r>
        <w:rPr>
          <w:rFonts w:eastAsia="Times New Roman"/>
        </w:rPr>
        <w:t>kraujavimas iš nosies,</w:t>
      </w:r>
    </w:p>
    <w:p w:rsidR="004570CB" w:rsidRDefault="004570CB" w:rsidP="004570CB">
      <w:pPr>
        <w:numPr>
          <w:ilvl w:val="0"/>
          <w:numId w:val="17"/>
        </w:numPr>
        <w:tabs>
          <w:tab w:val="left" w:pos="542"/>
        </w:tabs>
        <w:ind w:left="542" w:hanging="541"/>
        <w:rPr>
          <w:rFonts w:eastAsia="Times New Roman"/>
        </w:rPr>
      </w:pPr>
      <w:r>
        <w:rPr>
          <w:rFonts w:eastAsia="Times New Roman"/>
        </w:rPr>
        <w:t>padažnėjęs širdies plakimas (pulsas),</w:t>
      </w:r>
    </w:p>
    <w:p w:rsidR="004570CB" w:rsidRDefault="004570CB" w:rsidP="004570CB">
      <w:pPr>
        <w:spacing w:line="1" w:lineRule="exact"/>
        <w:rPr>
          <w:rFonts w:eastAsia="Times New Roman"/>
        </w:rPr>
      </w:pPr>
    </w:p>
    <w:p w:rsidR="004570CB" w:rsidRDefault="004570CB" w:rsidP="004570CB">
      <w:pPr>
        <w:numPr>
          <w:ilvl w:val="0"/>
          <w:numId w:val="17"/>
        </w:numPr>
        <w:tabs>
          <w:tab w:val="left" w:pos="542"/>
        </w:tabs>
        <w:spacing w:line="239" w:lineRule="auto"/>
        <w:ind w:left="542" w:hanging="541"/>
        <w:rPr>
          <w:rFonts w:eastAsia="Times New Roman"/>
        </w:rPr>
      </w:pPr>
      <w:r>
        <w:rPr>
          <w:rFonts w:eastAsia="Times New Roman"/>
        </w:rPr>
        <w:t>sustojęs vidurių arba žarnų praeinamumas,</w:t>
      </w:r>
    </w:p>
    <w:p w:rsidR="004570CB" w:rsidRDefault="004570CB" w:rsidP="004570CB">
      <w:pPr>
        <w:numPr>
          <w:ilvl w:val="0"/>
          <w:numId w:val="17"/>
        </w:numPr>
        <w:tabs>
          <w:tab w:val="left" w:pos="542"/>
        </w:tabs>
        <w:spacing w:line="239" w:lineRule="auto"/>
        <w:ind w:left="542" w:hanging="541"/>
        <w:rPr>
          <w:rFonts w:eastAsia="Times New Roman"/>
        </w:rPr>
      </w:pPr>
      <w:r>
        <w:rPr>
          <w:rFonts w:eastAsia="Times New Roman"/>
        </w:rPr>
        <w:t>nenormalus šlapimo tyrimas (baltymas šlapime),</w:t>
      </w:r>
    </w:p>
    <w:p w:rsidR="004570CB" w:rsidRDefault="004570CB" w:rsidP="004570CB">
      <w:pPr>
        <w:numPr>
          <w:ilvl w:val="0"/>
          <w:numId w:val="17"/>
        </w:numPr>
        <w:tabs>
          <w:tab w:val="left" w:pos="542"/>
        </w:tabs>
        <w:ind w:left="542" w:hanging="541"/>
        <w:rPr>
          <w:rFonts w:eastAsia="Times New Roman"/>
        </w:rPr>
      </w:pPr>
      <w:r>
        <w:rPr>
          <w:rFonts w:eastAsia="Times New Roman"/>
        </w:rPr>
        <w:t>dusulys arba maža deguonies koncentracija kraujyje,</w:t>
      </w:r>
    </w:p>
    <w:p w:rsidR="004570CB" w:rsidRDefault="004570CB" w:rsidP="004570CB">
      <w:pPr>
        <w:spacing w:line="1" w:lineRule="exact"/>
        <w:rPr>
          <w:rFonts w:eastAsia="Times New Roman"/>
        </w:rPr>
      </w:pPr>
    </w:p>
    <w:p w:rsidR="004570CB" w:rsidRDefault="004570CB" w:rsidP="004570CB">
      <w:pPr>
        <w:numPr>
          <w:ilvl w:val="0"/>
          <w:numId w:val="17"/>
        </w:numPr>
        <w:tabs>
          <w:tab w:val="left" w:pos="542"/>
        </w:tabs>
        <w:spacing w:line="239" w:lineRule="auto"/>
        <w:ind w:left="542" w:hanging="540"/>
        <w:rPr>
          <w:rFonts w:eastAsia="Times New Roman"/>
        </w:rPr>
      </w:pPr>
      <w:r>
        <w:rPr>
          <w:rFonts w:eastAsia="Times New Roman"/>
        </w:rPr>
        <w:t>odos ar po oda esančių gilesnių sluoksnių infekcijos,</w:t>
      </w:r>
    </w:p>
    <w:p w:rsidR="004570CB" w:rsidRDefault="004570CB" w:rsidP="004570CB">
      <w:pPr>
        <w:numPr>
          <w:ilvl w:val="0"/>
          <w:numId w:val="17"/>
        </w:numPr>
        <w:tabs>
          <w:tab w:val="left" w:pos="542"/>
        </w:tabs>
        <w:spacing w:line="260" w:lineRule="auto"/>
        <w:ind w:left="542" w:right="240" w:hanging="540"/>
        <w:rPr>
          <w:rFonts w:eastAsia="Times New Roman"/>
        </w:rPr>
      </w:pPr>
      <w:r>
        <w:rPr>
          <w:rFonts w:eastAsia="Times New Roman"/>
        </w:rPr>
        <w:t>fistulės: nenormalios į vamzdelį panašios jungtys tarp vidaus organų ir odos arba kitų audinių, kurie normaliai nesijungia, įskaitant jungtis tarp makšties ir žarnyno gimdos kaklelio vėžiu sergančioms pacientėms.</w:t>
      </w:r>
    </w:p>
    <w:p w:rsidR="004570CB" w:rsidRDefault="004570CB" w:rsidP="004570CB">
      <w:pPr>
        <w:spacing w:line="187" w:lineRule="exact"/>
        <w:rPr>
          <w:sz w:val="20"/>
          <w:szCs w:val="20"/>
        </w:rPr>
      </w:pPr>
    </w:p>
    <w:p w:rsidR="004570CB" w:rsidRDefault="004570CB" w:rsidP="004570CB">
      <w:pPr>
        <w:spacing w:line="241" w:lineRule="auto"/>
        <w:ind w:left="2" w:right="580"/>
        <w:rPr>
          <w:sz w:val="20"/>
          <w:szCs w:val="20"/>
        </w:rPr>
      </w:pPr>
      <w:r>
        <w:rPr>
          <w:rFonts w:eastAsia="Times New Roman"/>
        </w:rPr>
        <w:t xml:space="preserve">Sunkus šalutinis poveikis, kurio pasireiškimo dažnis </w:t>
      </w:r>
      <w:r>
        <w:rPr>
          <w:rFonts w:eastAsia="Times New Roman"/>
          <w:b/>
          <w:bCs/>
        </w:rPr>
        <w:t>nežinomas</w:t>
      </w:r>
      <w:r>
        <w:rPr>
          <w:rFonts w:eastAsia="Times New Roman"/>
        </w:rPr>
        <w:t xml:space="preserve"> (negali būti apskaičiuotas pagal turimus duomenis), yra:</w:t>
      </w:r>
    </w:p>
    <w:p w:rsidR="004570CB" w:rsidRDefault="004570CB" w:rsidP="004570CB">
      <w:pPr>
        <w:spacing w:line="2" w:lineRule="exact"/>
        <w:rPr>
          <w:sz w:val="20"/>
          <w:szCs w:val="20"/>
        </w:rPr>
      </w:pPr>
    </w:p>
    <w:p w:rsidR="004570CB" w:rsidRDefault="004570CB" w:rsidP="004570CB">
      <w:pPr>
        <w:numPr>
          <w:ilvl w:val="0"/>
          <w:numId w:val="18"/>
        </w:numPr>
        <w:tabs>
          <w:tab w:val="left" w:pos="562"/>
        </w:tabs>
        <w:spacing w:line="239" w:lineRule="auto"/>
        <w:ind w:left="562" w:right="220" w:hanging="560"/>
        <w:rPr>
          <w:rFonts w:eastAsia="Times New Roman"/>
        </w:rPr>
      </w:pPr>
      <w:r>
        <w:rPr>
          <w:rFonts w:eastAsia="Times New Roman"/>
        </w:rPr>
        <w:t>sunki odos ir poodinio audinio infekcija, ypatingai tuomet, jeigu Jūsų žarnų sienelėse susidarė prakiurimų ar buvo sutrikęs žaizdų gijimas,</w:t>
      </w:r>
    </w:p>
    <w:p w:rsidR="004570CB" w:rsidRDefault="004570CB" w:rsidP="004570CB">
      <w:pPr>
        <w:numPr>
          <w:ilvl w:val="0"/>
          <w:numId w:val="18"/>
        </w:numPr>
        <w:tabs>
          <w:tab w:val="left" w:pos="562"/>
        </w:tabs>
        <w:ind w:left="562" w:right="80" w:hanging="560"/>
        <w:rPr>
          <w:rFonts w:eastAsia="Times New Roman"/>
        </w:rPr>
      </w:pPr>
      <w:r>
        <w:rPr>
          <w:rFonts w:eastAsia="Times New Roman"/>
        </w:rPr>
        <w:t>alerginės reakcijos (jų požymiais gali būti apsunkintas kvėpavimas, veido paraudimas, bėrimas, sumažėjęs ar padidėjęs kraujospūdis, sumažėjęs deguonies kiekis kraujyje, krūtinės ląstos skausmas, pykinimas ar vėmimas),</w:t>
      </w:r>
    </w:p>
    <w:p w:rsidR="004570CB" w:rsidRDefault="004570CB" w:rsidP="004570CB">
      <w:pPr>
        <w:spacing w:line="1" w:lineRule="exact"/>
        <w:rPr>
          <w:rFonts w:eastAsia="Times New Roman"/>
        </w:rPr>
      </w:pPr>
    </w:p>
    <w:p w:rsidR="004570CB" w:rsidRDefault="004570CB" w:rsidP="004570CB">
      <w:pPr>
        <w:numPr>
          <w:ilvl w:val="0"/>
          <w:numId w:val="18"/>
        </w:numPr>
        <w:tabs>
          <w:tab w:val="left" w:pos="562"/>
        </w:tabs>
        <w:spacing w:line="239" w:lineRule="auto"/>
        <w:ind w:left="562" w:right="260" w:hanging="560"/>
        <w:rPr>
          <w:rFonts w:eastAsia="Times New Roman"/>
        </w:rPr>
      </w:pPr>
      <w:r>
        <w:rPr>
          <w:rFonts w:eastAsia="Times New Roman"/>
        </w:rPr>
        <w:t>neigiamas poveikis moterų gebėjimui pastoti (išsamios rekomendacijos pateikiamos toliau po šalutinių reiškinių sąrašo esančiose pastraipose),</w:t>
      </w:r>
    </w:p>
    <w:p w:rsidR="004570CB" w:rsidRDefault="004570CB" w:rsidP="004570CB">
      <w:pPr>
        <w:numPr>
          <w:ilvl w:val="0"/>
          <w:numId w:val="18"/>
        </w:numPr>
        <w:tabs>
          <w:tab w:val="left" w:pos="562"/>
        </w:tabs>
        <w:ind w:left="562" w:right="180" w:hanging="560"/>
        <w:jc w:val="both"/>
        <w:rPr>
          <w:rFonts w:eastAsia="Times New Roman"/>
        </w:rPr>
      </w:pPr>
      <w:r>
        <w:rPr>
          <w:rFonts w:eastAsia="Times New Roman"/>
        </w:rPr>
        <w:t>galvos smegenų sutrikimas, kurio požymiai gali būti traukuliai (priepuoliai), galvos skausmas, minčių susipainiojimas ir regos pokyčiai (užpakalinės grįžtamosios encefalopatijos sindromas arba UGES),</w:t>
      </w:r>
    </w:p>
    <w:p w:rsidR="004570CB" w:rsidRDefault="004570CB" w:rsidP="004570CB">
      <w:pPr>
        <w:spacing w:line="1" w:lineRule="exact"/>
        <w:rPr>
          <w:rFonts w:eastAsia="Times New Roman"/>
        </w:rPr>
      </w:pPr>
    </w:p>
    <w:p w:rsidR="004570CB" w:rsidRDefault="004570CB" w:rsidP="004570CB">
      <w:pPr>
        <w:numPr>
          <w:ilvl w:val="0"/>
          <w:numId w:val="18"/>
        </w:numPr>
        <w:tabs>
          <w:tab w:val="left" w:pos="562"/>
        </w:tabs>
        <w:ind w:left="562" w:right="100" w:hanging="560"/>
        <w:rPr>
          <w:rFonts w:eastAsia="Times New Roman"/>
        </w:rPr>
      </w:pPr>
      <w:r>
        <w:rPr>
          <w:rFonts w:eastAsia="Times New Roman"/>
        </w:rPr>
        <w:t>įprastos galvos smegenų veiklos pokyčius rodantys simptomai (galvos skausmas, pakitusi rega, sumišimas ar traukuliai) ir padidėjęs kraujospūdis,</w:t>
      </w:r>
    </w:p>
    <w:p w:rsidR="004570CB" w:rsidRDefault="004570CB" w:rsidP="004570CB">
      <w:pPr>
        <w:numPr>
          <w:ilvl w:val="0"/>
          <w:numId w:val="18"/>
        </w:numPr>
        <w:tabs>
          <w:tab w:val="left" w:pos="562"/>
        </w:tabs>
        <w:spacing w:line="239" w:lineRule="auto"/>
        <w:ind w:left="562" w:hanging="560"/>
        <w:rPr>
          <w:rFonts w:eastAsia="Times New Roman"/>
        </w:rPr>
      </w:pPr>
      <w:r>
        <w:rPr>
          <w:rFonts w:eastAsia="Times New Roman"/>
        </w:rPr>
        <w:t>kraujagyslės sienelės išsipūtimas ir susilpnėjimas arba kraujagyslės sienelės įplyšimas</w:t>
      </w:r>
    </w:p>
    <w:p w:rsidR="004570CB" w:rsidRDefault="004570CB" w:rsidP="004570CB">
      <w:pPr>
        <w:spacing w:line="239" w:lineRule="auto"/>
        <w:ind w:left="562"/>
        <w:rPr>
          <w:rFonts w:eastAsia="Times New Roman"/>
        </w:rPr>
      </w:pPr>
      <w:r>
        <w:rPr>
          <w:rFonts w:eastAsia="Times New Roman"/>
        </w:rPr>
        <w:t>(aneurizmos ir arterijų disekacijos),</w:t>
      </w:r>
    </w:p>
    <w:p w:rsidR="004570CB" w:rsidRDefault="004570CB" w:rsidP="004570CB">
      <w:pPr>
        <w:numPr>
          <w:ilvl w:val="0"/>
          <w:numId w:val="18"/>
        </w:numPr>
        <w:tabs>
          <w:tab w:val="left" w:pos="562"/>
        </w:tabs>
        <w:ind w:left="562" w:hanging="560"/>
        <w:rPr>
          <w:rFonts w:eastAsia="Times New Roman"/>
        </w:rPr>
      </w:pPr>
      <w:r>
        <w:rPr>
          <w:rFonts w:eastAsia="Times New Roman"/>
        </w:rPr>
        <w:t>labai smulkių inkstų kraujagyslių užsikimšimas,</w:t>
      </w:r>
    </w:p>
    <w:p w:rsidR="004570CB" w:rsidRDefault="004570CB" w:rsidP="004570CB">
      <w:pPr>
        <w:sectPr w:rsidR="004570CB">
          <w:pgSz w:w="11900" w:h="16838"/>
          <w:pgMar w:top="1102" w:right="1426" w:bottom="192" w:left="1418" w:header="0" w:footer="0" w:gutter="0"/>
          <w:cols w:space="720" w:equalWidth="0">
            <w:col w:w="9062"/>
          </w:cols>
        </w:sectPr>
      </w:pPr>
    </w:p>
    <w:p w:rsidR="004570CB" w:rsidRDefault="004570CB" w:rsidP="004570CB">
      <w:pPr>
        <w:spacing w:line="379" w:lineRule="exact"/>
        <w:rPr>
          <w:sz w:val="20"/>
          <w:szCs w:val="20"/>
        </w:rPr>
      </w:pPr>
    </w:p>
    <w:p w:rsidR="004570CB" w:rsidRDefault="004570CB" w:rsidP="004570CB">
      <w:pPr>
        <w:ind w:right="358"/>
        <w:jc w:val="center"/>
        <w:rPr>
          <w:sz w:val="20"/>
          <w:szCs w:val="20"/>
        </w:rPr>
      </w:pPr>
      <w:r>
        <w:rPr>
          <w:rFonts w:ascii="Arial" w:eastAsia="Arial" w:hAnsi="Arial" w:cs="Arial"/>
          <w:sz w:val="16"/>
          <w:szCs w:val="16"/>
        </w:rPr>
        <w:t>76</w:t>
      </w:r>
    </w:p>
    <w:p w:rsidR="004570CB" w:rsidRDefault="004570CB" w:rsidP="004570CB">
      <w:pPr>
        <w:sectPr w:rsidR="004570CB">
          <w:type w:val="continuous"/>
          <w:pgSz w:w="11900" w:h="16838"/>
          <w:pgMar w:top="1102" w:right="1426" w:bottom="192" w:left="1418" w:header="0" w:footer="0" w:gutter="0"/>
          <w:cols w:space="720" w:equalWidth="0">
            <w:col w:w="9062"/>
          </w:cols>
        </w:sectPr>
      </w:pPr>
    </w:p>
    <w:p w:rsidR="004570CB" w:rsidRDefault="004570CB" w:rsidP="004570CB">
      <w:pPr>
        <w:numPr>
          <w:ilvl w:val="0"/>
          <w:numId w:val="19"/>
        </w:numPr>
        <w:tabs>
          <w:tab w:val="left" w:pos="562"/>
        </w:tabs>
        <w:ind w:left="562" w:right="26" w:hanging="562"/>
        <w:rPr>
          <w:rFonts w:eastAsia="Times New Roman"/>
        </w:rPr>
      </w:pPr>
      <w:bookmarkStart w:id="5" w:name="page77"/>
      <w:bookmarkEnd w:id="5"/>
      <w:r>
        <w:rPr>
          <w:rFonts w:eastAsia="Times New Roman"/>
        </w:rPr>
        <w:t>nenormaliai padidėjęs kraujospūdis plaučių kraujagyslėse, dėl ko dešinioji širdies pusė priversta dirbti sunkiau nei įprastai,</w:t>
      </w:r>
    </w:p>
    <w:p w:rsidR="004570CB" w:rsidRDefault="004570CB" w:rsidP="004570CB">
      <w:pPr>
        <w:numPr>
          <w:ilvl w:val="0"/>
          <w:numId w:val="19"/>
        </w:numPr>
        <w:tabs>
          <w:tab w:val="left" w:pos="562"/>
        </w:tabs>
        <w:ind w:left="562" w:hanging="562"/>
        <w:rPr>
          <w:rFonts w:eastAsia="Times New Roman"/>
        </w:rPr>
      </w:pPr>
      <w:r>
        <w:rPr>
          <w:rFonts w:eastAsia="Times New Roman"/>
        </w:rPr>
        <w:t>nosies pertvaros (šnerves atskiriančios kremzlės sienelės) prakiurimas,</w:t>
      </w:r>
    </w:p>
    <w:p w:rsidR="004570CB" w:rsidRDefault="004570CB" w:rsidP="004570CB">
      <w:pPr>
        <w:spacing w:line="1" w:lineRule="exact"/>
        <w:rPr>
          <w:rFonts w:eastAsia="Times New Roman"/>
        </w:rPr>
      </w:pPr>
    </w:p>
    <w:p w:rsidR="004570CB" w:rsidRDefault="004570CB" w:rsidP="004570CB">
      <w:pPr>
        <w:numPr>
          <w:ilvl w:val="0"/>
          <w:numId w:val="19"/>
        </w:numPr>
        <w:tabs>
          <w:tab w:val="left" w:pos="562"/>
        </w:tabs>
        <w:spacing w:line="239" w:lineRule="auto"/>
        <w:ind w:left="562" w:hanging="562"/>
        <w:rPr>
          <w:rFonts w:eastAsia="Times New Roman"/>
        </w:rPr>
      </w:pPr>
      <w:r>
        <w:rPr>
          <w:rFonts w:eastAsia="Times New Roman"/>
        </w:rPr>
        <w:t>skrandžio ar žarnų prakiurimas,</w:t>
      </w:r>
    </w:p>
    <w:p w:rsidR="004570CB" w:rsidRDefault="004570CB" w:rsidP="004570CB">
      <w:pPr>
        <w:numPr>
          <w:ilvl w:val="0"/>
          <w:numId w:val="19"/>
        </w:numPr>
        <w:tabs>
          <w:tab w:val="left" w:pos="562"/>
        </w:tabs>
        <w:ind w:left="562" w:right="126" w:hanging="562"/>
        <w:rPr>
          <w:rFonts w:eastAsia="Times New Roman"/>
        </w:rPr>
      </w:pPr>
      <w:r>
        <w:rPr>
          <w:rFonts w:eastAsia="Times New Roman"/>
        </w:rPr>
        <w:t>skrandžio ar plonųjų žarnų gleivinių opos ar prakiurimas (jų požymiai gali būti pilvo skausmas ar išsipūtimo pojūtis, juodos deguto spalvos išmatos ar kraujas išmatose, vėmimas su krauju),</w:t>
      </w:r>
    </w:p>
    <w:p w:rsidR="004570CB" w:rsidRDefault="004570CB" w:rsidP="004570CB">
      <w:pPr>
        <w:numPr>
          <w:ilvl w:val="0"/>
          <w:numId w:val="19"/>
        </w:numPr>
        <w:tabs>
          <w:tab w:val="left" w:pos="562"/>
        </w:tabs>
        <w:spacing w:line="239" w:lineRule="auto"/>
        <w:ind w:left="562" w:hanging="562"/>
        <w:rPr>
          <w:rFonts w:eastAsia="Times New Roman"/>
        </w:rPr>
      </w:pPr>
      <w:r>
        <w:rPr>
          <w:rFonts w:eastAsia="Times New Roman"/>
        </w:rPr>
        <w:t>kraujavimas iš storosios žarnos apatinės dalies,</w:t>
      </w:r>
    </w:p>
    <w:p w:rsidR="004570CB" w:rsidRDefault="004570CB" w:rsidP="004570CB">
      <w:pPr>
        <w:numPr>
          <w:ilvl w:val="0"/>
          <w:numId w:val="19"/>
        </w:numPr>
        <w:tabs>
          <w:tab w:val="left" w:pos="562"/>
        </w:tabs>
        <w:ind w:left="562" w:right="166" w:hanging="562"/>
        <w:rPr>
          <w:rFonts w:eastAsia="Times New Roman"/>
        </w:rPr>
      </w:pPr>
      <w:r>
        <w:rPr>
          <w:rFonts w:eastAsia="Times New Roman"/>
        </w:rPr>
        <w:t>dantenų pažeidimas, kuris išplinta į žandikaulį, negyja ir gali būti susijęs su aplinkinių audinių skausmu bei uždegimu (išsamios rekomendacijos pateikiamos toliau po šalutinių reiškinių sąrašo esančiose pastraipose),</w:t>
      </w:r>
    </w:p>
    <w:p w:rsidR="004570CB" w:rsidRDefault="004570CB" w:rsidP="004570CB">
      <w:pPr>
        <w:spacing w:line="1" w:lineRule="exact"/>
        <w:rPr>
          <w:rFonts w:eastAsia="Times New Roman"/>
        </w:rPr>
      </w:pPr>
    </w:p>
    <w:p w:rsidR="004570CB" w:rsidRDefault="004570CB" w:rsidP="004570CB">
      <w:pPr>
        <w:numPr>
          <w:ilvl w:val="0"/>
          <w:numId w:val="19"/>
        </w:numPr>
        <w:tabs>
          <w:tab w:val="left" w:pos="562"/>
        </w:tabs>
        <w:spacing w:line="279" w:lineRule="auto"/>
        <w:ind w:left="562" w:right="346" w:hanging="562"/>
        <w:rPr>
          <w:rFonts w:eastAsia="Times New Roman"/>
        </w:rPr>
      </w:pPr>
      <w:r>
        <w:rPr>
          <w:rFonts w:eastAsia="Times New Roman"/>
        </w:rPr>
        <w:t>tulžies pūslės prakiurimas (jo simptomai ir požymiai gali būti pilvo skausmas, karščiavimas, pykinimas ir vėmimas).</w:t>
      </w:r>
    </w:p>
    <w:p w:rsidR="004570CB" w:rsidRDefault="004570CB" w:rsidP="004570CB">
      <w:pPr>
        <w:spacing w:line="171" w:lineRule="exact"/>
        <w:rPr>
          <w:sz w:val="20"/>
          <w:szCs w:val="20"/>
        </w:rPr>
      </w:pPr>
    </w:p>
    <w:p w:rsidR="004570CB" w:rsidRDefault="004570CB" w:rsidP="004570CB">
      <w:pPr>
        <w:spacing w:line="288" w:lineRule="auto"/>
        <w:ind w:left="2" w:right="506"/>
        <w:rPr>
          <w:sz w:val="20"/>
          <w:szCs w:val="20"/>
        </w:rPr>
      </w:pPr>
      <w:r>
        <w:rPr>
          <w:rFonts w:eastAsia="Times New Roman"/>
          <w:b/>
          <w:bCs/>
        </w:rPr>
        <w:t>Jeigu Jus kamuoja bet kuris toliau paminėtas šalutinis poveikis, turite kiek galima greičiau ieškoti gydytojo pagalbos.</w:t>
      </w:r>
    </w:p>
    <w:p w:rsidR="004570CB" w:rsidRDefault="004570CB" w:rsidP="004570CB">
      <w:pPr>
        <w:spacing w:line="146" w:lineRule="exact"/>
        <w:rPr>
          <w:sz w:val="20"/>
          <w:szCs w:val="20"/>
        </w:rPr>
      </w:pPr>
    </w:p>
    <w:p w:rsidR="004570CB" w:rsidRDefault="004570CB" w:rsidP="004570CB">
      <w:pPr>
        <w:ind w:left="2"/>
        <w:rPr>
          <w:sz w:val="20"/>
          <w:szCs w:val="20"/>
        </w:rPr>
      </w:pPr>
      <w:r>
        <w:rPr>
          <w:rFonts w:eastAsia="Times New Roman"/>
          <w:b/>
          <w:bCs/>
        </w:rPr>
        <w:t>Labai dažnas</w:t>
      </w:r>
      <w:r>
        <w:rPr>
          <w:rFonts w:eastAsia="Times New Roman"/>
        </w:rPr>
        <w:t xml:space="preserve"> (paveikia daugiau kaip 1 vartotoją iš 10), bet nesunkus šalutinis poveikis yra:</w:t>
      </w:r>
    </w:p>
    <w:p w:rsidR="004570CB" w:rsidRDefault="004570CB" w:rsidP="004570CB">
      <w:pPr>
        <w:spacing w:line="2" w:lineRule="exact"/>
        <w:rPr>
          <w:sz w:val="20"/>
          <w:szCs w:val="20"/>
        </w:rPr>
      </w:pPr>
    </w:p>
    <w:p w:rsidR="004570CB" w:rsidRDefault="004570CB" w:rsidP="004570CB">
      <w:pPr>
        <w:numPr>
          <w:ilvl w:val="0"/>
          <w:numId w:val="20"/>
        </w:numPr>
        <w:tabs>
          <w:tab w:val="left" w:pos="542"/>
        </w:tabs>
        <w:ind w:left="542" w:hanging="542"/>
        <w:rPr>
          <w:rFonts w:eastAsia="Times New Roman"/>
        </w:rPr>
      </w:pPr>
      <w:r>
        <w:rPr>
          <w:rFonts w:eastAsia="Times New Roman"/>
        </w:rPr>
        <w:t>vidurių užkietėjimas,</w:t>
      </w:r>
    </w:p>
    <w:p w:rsidR="004570CB" w:rsidRDefault="004570CB" w:rsidP="004570CB">
      <w:pPr>
        <w:spacing w:line="1" w:lineRule="exact"/>
        <w:rPr>
          <w:rFonts w:eastAsia="Times New Roman"/>
        </w:rPr>
      </w:pPr>
    </w:p>
    <w:p w:rsidR="004570CB" w:rsidRDefault="004570CB" w:rsidP="004570CB">
      <w:pPr>
        <w:numPr>
          <w:ilvl w:val="0"/>
          <w:numId w:val="20"/>
        </w:numPr>
        <w:tabs>
          <w:tab w:val="left" w:pos="542"/>
        </w:tabs>
        <w:spacing w:line="239" w:lineRule="auto"/>
        <w:ind w:left="542" w:hanging="542"/>
        <w:rPr>
          <w:rFonts w:eastAsia="Times New Roman"/>
        </w:rPr>
      </w:pPr>
      <w:r>
        <w:rPr>
          <w:rFonts w:eastAsia="Times New Roman"/>
        </w:rPr>
        <w:t>apetito netekimas,</w:t>
      </w:r>
    </w:p>
    <w:p w:rsidR="004570CB" w:rsidRDefault="004570CB" w:rsidP="004570CB">
      <w:pPr>
        <w:numPr>
          <w:ilvl w:val="0"/>
          <w:numId w:val="20"/>
        </w:numPr>
        <w:tabs>
          <w:tab w:val="left" w:pos="542"/>
        </w:tabs>
        <w:ind w:left="542" w:hanging="542"/>
        <w:rPr>
          <w:rFonts w:eastAsia="Times New Roman"/>
        </w:rPr>
      </w:pPr>
      <w:r>
        <w:rPr>
          <w:rFonts w:eastAsia="Times New Roman"/>
        </w:rPr>
        <w:t>karščiavimas,</w:t>
      </w:r>
    </w:p>
    <w:p w:rsidR="004570CB" w:rsidRDefault="004570CB" w:rsidP="004570CB">
      <w:pPr>
        <w:spacing w:line="1" w:lineRule="exact"/>
        <w:rPr>
          <w:rFonts w:eastAsia="Times New Roman"/>
        </w:rPr>
      </w:pPr>
    </w:p>
    <w:p w:rsidR="004570CB" w:rsidRDefault="004570CB" w:rsidP="004570CB">
      <w:pPr>
        <w:numPr>
          <w:ilvl w:val="0"/>
          <w:numId w:val="20"/>
        </w:numPr>
        <w:tabs>
          <w:tab w:val="left" w:pos="542"/>
        </w:tabs>
        <w:spacing w:line="239" w:lineRule="auto"/>
        <w:ind w:left="542" w:hanging="542"/>
        <w:rPr>
          <w:rFonts w:eastAsia="Times New Roman"/>
        </w:rPr>
      </w:pPr>
      <w:r>
        <w:rPr>
          <w:rFonts w:eastAsia="Times New Roman"/>
        </w:rPr>
        <w:t>akių sutrikimai (įskaitant padidėjusį ašarų išsiskyrimą),</w:t>
      </w:r>
    </w:p>
    <w:p w:rsidR="004570CB" w:rsidRDefault="004570CB" w:rsidP="004570CB">
      <w:pPr>
        <w:numPr>
          <w:ilvl w:val="0"/>
          <w:numId w:val="20"/>
        </w:numPr>
        <w:tabs>
          <w:tab w:val="left" w:pos="542"/>
        </w:tabs>
        <w:spacing w:line="239" w:lineRule="auto"/>
        <w:ind w:left="542" w:hanging="542"/>
        <w:rPr>
          <w:rFonts w:eastAsia="Times New Roman"/>
        </w:rPr>
      </w:pPr>
      <w:r>
        <w:rPr>
          <w:rFonts w:eastAsia="Times New Roman"/>
        </w:rPr>
        <w:t>pakitusi kalba, pakitęs skonio pojūtis,</w:t>
      </w:r>
    </w:p>
    <w:p w:rsidR="004570CB" w:rsidRDefault="004570CB" w:rsidP="004570CB">
      <w:pPr>
        <w:numPr>
          <w:ilvl w:val="0"/>
          <w:numId w:val="20"/>
        </w:numPr>
        <w:tabs>
          <w:tab w:val="left" w:pos="542"/>
        </w:tabs>
        <w:ind w:left="542" w:hanging="542"/>
        <w:rPr>
          <w:rFonts w:eastAsia="Times New Roman"/>
        </w:rPr>
      </w:pPr>
      <w:r>
        <w:rPr>
          <w:rFonts w:eastAsia="Times New Roman"/>
        </w:rPr>
        <w:t>sloga,</w:t>
      </w:r>
    </w:p>
    <w:p w:rsidR="004570CB" w:rsidRDefault="004570CB" w:rsidP="004570CB">
      <w:pPr>
        <w:spacing w:line="1" w:lineRule="exact"/>
        <w:rPr>
          <w:rFonts w:eastAsia="Times New Roman"/>
        </w:rPr>
      </w:pPr>
    </w:p>
    <w:p w:rsidR="004570CB" w:rsidRDefault="004570CB" w:rsidP="004570CB">
      <w:pPr>
        <w:numPr>
          <w:ilvl w:val="0"/>
          <w:numId w:val="20"/>
        </w:numPr>
        <w:tabs>
          <w:tab w:val="left" w:pos="542"/>
        </w:tabs>
        <w:spacing w:line="239" w:lineRule="auto"/>
        <w:ind w:left="542" w:hanging="541"/>
        <w:rPr>
          <w:rFonts w:eastAsia="Times New Roman"/>
        </w:rPr>
      </w:pPr>
      <w:r>
        <w:rPr>
          <w:rFonts w:eastAsia="Times New Roman"/>
        </w:rPr>
        <w:t>odos sausėjimas, odos pleiskanojimas ir uždegimas, pakitusi odos spalva,</w:t>
      </w:r>
    </w:p>
    <w:p w:rsidR="004570CB" w:rsidRDefault="004570CB" w:rsidP="004570CB">
      <w:pPr>
        <w:numPr>
          <w:ilvl w:val="0"/>
          <w:numId w:val="20"/>
        </w:numPr>
        <w:tabs>
          <w:tab w:val="left" w:pos="542"/>
        </w:tabs>
        <w:ind w:left="542" w:hanging="541"/>
        <w:rPr>
          <w:rFonts w:eastAsia="Times New Roman"/>
        </w:rPr>
      </w:pPr>
      <w:r>
        <w:rPr>
          <w:rFonts w:eastAsia="Times New Roman"/>
        </w:rPr>
        <w:t>sumažėjęs kūno svoris,</w:t>
      </w:r>
    </w:p>
    <w:p w:rsidR="004570CB" w:rsidRDefault="004570CB" w:rsidP="004570CB">
      <w:pPr>
        <w:spacing w:line="1" w:lineRule="exact"/>
        <w:rPr>
          <w:rFonts w:eastAsia="Times New Roman"/>
        </w:rPr>
      </w:pPr>
    </w:p>
    <w:p w:rsidR="004570CB" w:rsidRDefault="004570CB" w:rsidP="004570CB">
      <w:pPr>
        <w:numPr>
          <w:ilvl w:val="0"/>
          <w:numId w:val="20"/>
        </w:numPr>
        <w:tabs>
          <w:tab w:val="left" w:pos="542"/>
        </w:tabs>
        <w:ind w:left="542" w:hanging="541"/>
        <w:rPr>
          <w:rFonts w:eastAsia="Times New Roman"/>
        </w:rPr>
      </w:pPr>
      <w:r>
        <w:rPr>
          <w:rFonts w:eastAsia="Times New Roman"/>
        </w:rPr>
        <w:t>kraujavimas iš nosies.</w:t>
      </w:r>
    </w:p>
    <w:p w:rsidR="004570CB" w:rsidRDefault="004570CB" w:rsidP="004570CB">
      <w:pPr>
        <w:spacing w:line="250" w:lineRule="exact"/>
        <w:rPr>
          <w:sz w:val="20"/>
          <w:szCs w:val="20"/>
        </w:rPr>
      </w:pPr>
    </w:p>
    <w:p w:rsidR="004570CB" w:rsidRDefault="004570CB" w:rsidP="004570CB">
      <w:pPr>
        <w:ind w:left="2"/>
        <w:rPr>
          <w:sz w:val="20"/>
          <w:szCs w:val="20"/>
        </w:rPr>
      </w:pPr>
      <w:r>
        <w:rPr>
          <w:rFonts w:eastAsia="Times New Roman"/>
          <w:b/>
          <w:bCs/>
        </w:rPr>
        <w:t>Dažnas</w:t>
      </w:r>
      <w:r>
        <w:rPr>
          <w:rFonts w:eastAsia="Times New Roman"/>
        </w:rPr>
        <w:t xml:space="preserve"> (paveikia nuo 1 iki 10 vartotojų iš 100), bet nesunkus šalutinis poveikis yra:</w:t>
      </w:r>
    </w:p>
    <w:p w:rsidR="004570CB" w:rsidRDefault="004570CB" w:rsidP="004570CB">
      <w:pPr>
        <w:spacing w:line="2" w:lineRule="exact"/>
        <w:rPr>
          <w:sz w:val="20"/>
          <w:szCs w:val="20"/>
        </w:rPr>
      </w:pPr>
    </w:p>
    <w:p w:rsidR="004570CB" w:rsidRDefault="004570CB" w:rsidP="004570CB">
      <w:pPr>
        <w:numPr>
          <w:ilvl w:val="0"/>
          <w:numId w:val="21"/>
        </w:numPr>
        <w:tabs>
          <w:tab w:val="left" w:pos="542"/>
        </w:tabs>
        <w:ind w:left="542" w:hanging="541"/>
        <w:rPr>
          <w:rFonts w:eastAsia="Times New Roman"/>
        </w:rPr>
      </w:pPr>
      <w:r>
        <w:rPr>
          <w:rFonts w:eastAsia="Times New Roman"/>
        </w:rPr>
        <w:t>balso pakitimas ir užkimimas.</w:t>
      </w:r>
    </w:p>
    <w:p w:rsidR="004570CB" w:rsidRDefault="004570CB" w:rsidP="004570CB">
      <w:pPr>
        <w:spacing w:line="253" w:lineRule="exact"/>
        <w:rPr>
          <w:sz w:val="20"/>
          <w:szCs w:val="20"/>
        </w:rPr>
      </w:pPr>
    </w:p>
    <w:p w:rsidR="004570CB" w:rsidRDefault="004570CB" w:rsidP="004570CB">
      <w:pPr>
        <w:ind w:left="2" w:right="666"/>
        <w:rPr>
          <w:sz w:val="20"/>
          <w:szCs w:val="20"/>
        </w:rPr>
      </w:pPr>
      <w:r>
        <w:rPr>
          <w:rFonts w:eastAsia="Times New Roman"/>
        </w:rPr>
        <w:t>Vyresniems kaip 65 metų pacientams yra didesnis pavojus, kad jiems pasireikš toliau išvardytų šalutinių reiškinių:</w:t>
      </w:r>
    </w:p>
    <w:p w:rsidR="004570CB" w:rsidRDefault="004570CB" w:rsidP="004570CB">
      <w:pPr>
        <w:numPr>
          <w:ilvl w:val="0"/>
          <w:numId w:val="22"/>
        </w:numPr>
        <w:tabs>
          <w:tab w:val="left" w:pos="562"/>
        </w:tabs>
        <w:ind w:left="562" w:hanging="561"/>
        <w:rPr>
          <w:rFonts w:eastAsia="Times New Roman"/>
        </w:rPr>
      </w:pPr>
      <w:r>
        <w:rPr>
          <w:rFonts w:eastAsia="Times New Roman"/>
        </w:rPr>
        <w:t>kraujo krešulio susidarymas arterijose, dėl ko gali ištikti insultas arba širdies priepuolis,</w:t>
      </w:r>
    </w:p>
    <w:p w:rsidR="004570CB" w:rsidRDefault="004570CB" w:rsidP="004570CB">
      <w:pPr>
        <w:numPr>
          <w:ilvl w:val="0"/>
          <w:numId w:val="22"/>
        </w:numPr>
        <w:tabs>
          <w:tab w:val="left" w:pos="562"/>
        </w:tabs>
        <w:spacing w:line="239" w:lineRule="auto"/>
        <w:ind w:left="562" w:hanging="561"/>
        <w:rPr>
          <w:rFonts w:eastAsia="Times New Roman"/>
        </w:rPr>
      </w:pPr>
      <w:r>
        <w:rPr>
          <w:rFonts w:eastAsia="Times New Roman"/>
        </w:rPr>
        <w:t>sumažėjęs baltųjų kraujo ląstelių ir ląstelių, kurios padeda kraujui krešėti, skaičius,</w:t>
      </w:r>
    </w:p>
    <w:p w:rsidR="004570CB" w:rsidRDefault="004570CB" w:rsidP="004570CB">
      <w:pPr>
        <w:numPr>
          <w:ilvl w:val="0"/>
          <w:numId w:val="22"/>
        </w:numPr>
        <w:tabs>
          <w:tab w:val="left" w:pos="562"/>
        </w:tabs>
        <w:ind w:left="562" w:hanging="560"/>
        <w:rPr>
          <w:rFonts w:eastAsia="Times New Roman"/>
        </w:rPr>
      </w:pPr>
      <w:r>
        <w:rPr>
          <w:rFonts w:eastAsia="Times New Roman"/>
        </w:rPr>
        <w:t>viduriavimas,</w:t>
      </w:r>
    </w:p>
    <w:p w:rsidR="004570CB" w:rsidRDefault="004570CB" w:rsidP="004570CB">
      <w:pPr>
        <w:spacing w:line="1" w:lineRule="exact"/>
        <w:rPr>
          <w:rFonts w:eastAsia="Times New Roman"/>
        </w:rPr>
      </w:pPr>
    </w:p>
    <w:p w:rsidR="004570CB" w:rsidRDefault="004570CB" w:rsidP="004570CB">
      <w:pPr>
        <w:numPr>
          <w:ilvl w:val="0"/>
          <w:numId w:val="22"/>
        </w:numPr>
        <w:tabs>
          <w:tab w:val="left" w:pos="562"/>
        </w:tabs>
        <w:spacing w:line="239" w:lineRule="auto"/>
        <w:ind w:left="562" w:hanging="560"/>
        <w:rPr>
          <w:rFonts w:eastAsia="Times New Roman"/>
        </w:rPr>
      </w:pPr>
      <w:r>
        <w:rPr>
          <w:rFonts w:eastAsia="Times New Roman"/>
        </w:rPr>
        <w:t>šleikštulys,</w:t>
      </w:r>
    </w:p>
    <w:p w:rsidR="004570CB" w:rsidRDefault="004570CB" w:rsidP="004570CB">
      <w:pPr>
        <w:numPr>
          <w:ilvl w:val="0"/>
          <w:numId w:val="22"/>
        </w:numPr>
        <w:tabs>
          <w:tab w:val="left" w:pos="562"/>
        </w:tabs>
        <w:ind w:left="562" w:hanging="560"/>
        <w:rPr>
          <w:rFonts w:eastAsia="Times New Roman"/>
        </w:rPr>
      </w:pPr>
      <w:r>
        <w:rPr>
          <w:rFonts w:eastAsia="Times New Roman"/>
        </w:rPr>
        <w:t>galvos skausmas,</w:t>
      </w:r>
    </w:p>
    <w:p w:rsidR="004570CB" w:rsidRDefault="004570CB" w:rsidP="004570CB">
      <w:pPr>
        <w:spacing w:line="1" w:lineRule="exact"/>
        <w:rPr>
          <w:rFonts w:eastAsia="Times New Roman"/>
        </w:rPr>
      </w:pPr>
    </w:p>
    <w:p w:rsidR="004570CB" w:rsidRDefault="004570CB" w:rsidP="004570CB">
      <w:pPr>
        <w:numPr>
          <w:ilvl w:val="0"/>
          <w:numId w:val="22"/>
        </w:numPr>
        <w:tabs>
          <w:tab w:val="left" w:pos="562"/>
        </w:tabs>
        <w:spacing w:line="239" w:lineRule="auto"/>
        <w:ind w:left="562" w:hanging="560"/>
        <w:rPr>
          <w:rFonts w:eastAsia="Times New Roman"/>
        </w:rPr>
      </w:pPr>
      <w:r>
        <w:rPr>
          <w:rFonts w:eastAsia="Times New Roman"/>
        </w:rPr>
        <w:t>nuovargis,</w:t>
      </w:r>
    </w:p>
    <w:p w:rsidR="004570CB" w:rsidRDefault="004570CB" w:rsidP="004570CB">
      <w:pPr>
        <w:numPr>
          <w:ilvl w:val="0"/>
          <w:numId w:val="22"/>
        </w:numPr>
        <w:tabs>
          <w:tab w:val="left" w:pos="562"/>
        </w:tabs>
        <w:ind w:left="562" w:hanging="560"/>
        <w:rPr>
          <w:rFonts w:eastAsia="Times New Roman"/>
        </w:rPr>
      </w:pPr>
      <w:r>
        <w:rPr>
          <w:rFonts w:eastAsia="Times New Roman"/>
        </w:rPr>
        <w:t>padidėjęs kraujospūdis.</w:t>
      </w:r>
    </w:p>
    <w:p w:rsidR="004570CB" w:rsidRDefault="004570CB" w:rsidP="004570CB">
      <w:pPr>
        <w:spacing w:line="253" w:lineRule="exact"/>
        <w:rPr>
          <w:sz w:val="20"/>
          <w:szCs w:val="20"/>
        </w:rPr>
      </w:pPr>
    </w:p>
    <w:p w:rsidR="004570CB" w:rsidRDefault="004570CB" w:rsidP="004570CB">
      <w:pPr>
        <w:spacing w:line="246" w:lineRule="auto"/>
        <w:ind w:left="2" w:right="66"/>
        <w:rPr>
          <w:sz w:val="20"/>
          <w:szCs w:val="20"/>
        </w:rPr>
      </w:pPr>
      <w:r>
        <w:rPr>
          <w:rFonts w:eastAsia="Times New Roman"/>
        </w:rPr>
        <w:t>Avastin taip pat gali sukelti laboratorinių tyrimų, kuriuos atlieka Jūsų gydytojas, rodmenų pokyčių. Tai – sumažėjęs baltųjų kraujo kūnelių, ypač neutrofilų (vienos baltųjų kraujo kūnelių, kurie padeda kovoti prieš infekcijas, rūšies) skaičius; baltymas šlapime; sumažėjusi kalio, natrio ar fosforo (mineralinių medžiagų) koncentracija kraujyje; padidėjusi gliukozės koncentracija kraujyje; padidėjęs kraujo šarminės fosfatazės (vieno iš fermentų) aktyvumas; padidėjusi kreatinino (kraujo tyrimo metu nustatomo baltymo, kuris parodo Jūsų inkstų veiklą) koncentracija serume; sumažėjusi hemoglobino (esančio raudonuose kraujo kūneliuose, kurie perneša deguonį) koncentracija, kurie gali būti sunkūs.</w:t>
      </w:r>
    </w:p>
    <w:p w:rsidR="004570CB" w:rsidRDefault="004570CB" w:rsidP="004570CB">
      <w:pPr>
        <w:spacing w:line="208" w:lineRule="exact"/>
        <w:rPr>
          <w:sz w:val="20"/>
          <w:szCs w:val="20"/>
        </w:rPr>
      </w:pPr>
    </w:p>
    <w:p w:rsidR="004570CB" w:rsidRDefault="004570CB" w:rsidP="004570CB">
      <w:pPr>
        <w:spacing w:line="253" w:lineRule="auto"/>
        <w:ind w:left="2" w:right="86"/>
        <w:rPr>
          <w:sz w:val="20"/>
          <w:szCs w:val="20"/>
        </w:rPr>
      </w:pPr>
      <w:r>
        <w:rPr>
          <w:rFonts w:eastAsia="Times New Roman"/>
        </w:rPr>
        <w:t>Burnos ertmės, dantų ir (arba) žandikaulio skausmas, burnos ertmės patinimas ar žaizdų atsiradimas, žandikaulio nutirpimo ar sunkumo pojūtis arba danties iškritimas. Tai gali būti žandikaulio pažeidimo (osteonekrozės) požymiai ir simptomai. Jeigu Jums pasireikštų kuris nors iš minėtų požymių, nedelsiant pasakykite savo gydytojui ir odontologui.</w:t>
      </w:r>
    </w:p>
    <w:p w:rsidR="004570CB" w:rsidRDefault="004570CB" w:rsidP="004570CB">
      <w:pPr>
        <w:spacing w:line="198" w:lineRule="exact"/>
        <w:rPr>
          <w:sz w:val="20"/>
          <w:szCs w:val="20"/>
        </w:rPr>
      </w:pPr>
    </w:p>
    <w:p w:rsidR="004570CB" w:rsidRDefault="004570CB" w:rsidP="004570CB">
      <w:pPr>
        <w:spacing w:line="260" w:lineRule="auto"/>
        <w:ind w:left="2" w:right="286"/>
        <w:jc w:val="both"/>
        <w:rPr>
          <w:sz w:val="20"/>
          <w:szCs w:val="20"/>
        </w:rPr>
      </w:pPr>
      <w:r>
        <w:rPr>
          <w:rFonts w:eastAsia="Times New Roman"/>
        </w:rPr>
        <w:t>Moterys prieš menopauzę (t. y., kurioms yra mėnesinių ciklai) gali pastebėti, kad mėnesinės tampa nereguliarios arba išnyksta, taip pat joms gali sutrikti vaisingumas. Jeigu galvojate susilaukti vaikų, turite tai aptarti su savo gydytoju prieš prasidedant Jūsų gydymui.</w:t>
      </w:r>
    </w:p>
    <w:p w:rsidR="004570CB" w:rsidRDefault="004570CB" w:rsidP="004570CB">
      <w:pPr>
        <w:sectPr w:rsidR="004570CB">
          <w:pgSz w:w="11900" w:h="16838"/>
          <w:pgMar w:top="1102" w:right="1440" w:bottom="192" w:left="1418" w:header="0" w:footer="0" w:gutter="0"/>
          <w:cols w:space="720" w:equalWidth="0">
            <w:col w:w="9048"/>
          </w:cols>
        </w:sectPr>
      </w:pPr>
    </w:p>
    <w:p w:rsidR="004570CB" w:rsidRDefault="004570CB" w:rsidP="004570CB">
      <w:pPr>
        <w:spacing w:line="200" w:lineRule="exact"/>
        <w:rPr>
          <w:sz w:val="20"/>
          <w:szCs w:val="20"/>
        </w:rPr>
      </w:pPr>
    </w:p>
    <w:p w:rsidR="004570CB" w:rsidRDefault="004570CB" w:rsidP="004570CB">
      <w:pPr>
        <w:spacing w:line="368" w:lineRule="exact"/>
        <w:rPr>
          <w:sz w:val="20"/>
          <w:szCs w:val="20"/>
        </w:rPr>
      </w:pPr>
    </w:p>
    <w:p w:rsidR="004570CB" w:rsidRDefault="004570CB" w:rsidP="004570CB">
      <w:pPr>
        <w:ind w:right="345"/>
        <w:jc w:val="center"/>
        <w:rPr>
          <w:sz w:val="20"/>
          <w:szCs w:val="20"/>
        </w:rPr>
      </w:pPr>
      <w:r>
        <w:rPr>
          <w:rFonts w:ascii="Arial" w:eastAsia="Arial" w:hAnsi="Arial" w:cs="Arial"/>
          <w:sz w:val="16"/>
          <w:szCs w:val="16"/>
        </w:rPr>
        <w:t>77</w:t>
      </w:r>
    </w:p>
    <w:p w:rsidR="004570CB" w:rsidRDefault="004570CB" w:rsidP="004570CB">
      <w:pPr>
        <w:sectPr w:rsidR="004570CB">
          <w:type w:val="continuous"/>
          <w:pgSz w:w="11900" w:h="16838"/>
          <w:pgMar w:top="1102" w:right="1440" w:bottom="192" w:left="1418" w:header="0" w:footer="0" w:gutter="0"/>
          <w:cols w:space="720" w:equalWidth="0">
            <w:col w:w="9048"/>
          </w:cols>
        </w:sectPr>
      </w:pPr>
    </w:p>
    <w:p w:rsidR="004570CB" w:rsidRDefault="004570CB" w:rsidP="004570CB">
      <w:pPr>
        <w:spacing w:line="254" w:lineRule="auto"/>
        <w:ind w:left="2" w:right="286"/>
        <w:rPr>
          <w:sz w:val="20"/>
          <w:szCs w:val="20"/>
        </w:rPr>
      </w:pPr>
      <w:bookmarkStart w:id="6" w:name="page78"/>
      <w:bookmarkEnd w:id="6"/>
      <w:r>
        <w:rPr>
          <w:rFonts w:eastAsia="Times New Roman"/>
        </w:rPr>
        <w:t>Avastin buvo sukurtas ir pagamintas vėžiu sergantiems pacientams gydyti, vaisto švirkščiant į kraujagysles. Vaistas nebuvo sukurtas ir pagamintas švirkšti į akį. Todėl pastarasis vaisto vartojimo būdas yra neįteisintas. Kai Avastin leidžiama tiesiai į akį (neįteisintas vartojimas), gali pasireikšti toliau išvardyti šalutiniai poveikiai:</w:t>
      </w:r>
    </w:p>
    <w:p w:rsidR="004570CB" w:rsidRDefault="004570CB" w:rsidP="004570CB">
      <w:pPr>
        <w:spacing w:line="195" w:lineRule="exact"/>
        <w:rPr>
          <w:sz w:val="20"/>
          <w:szCs w:val="20"/>
        </w:rPr>
      </w:pPr>
    </w:p>
    <w:p w:rsidR="004570CB" w:rsidRDefault="004570CB" w:rsidP="004570CB">
      <w:pPr>
        <w:numPr>
          <w:ilvl w:val="0"/>
          <w:numId w:val="23"/>
        </w:numPr>
        <w:tabs>
          <w:tab w:val="left" w:pos="282"/>
        </w:tabs>
        <w:ind w:left="282" w:hanging="282"/>
        <w:rPr>
          <w:rFonts w:eastAsia="Times New Roman"/>
        </w:rPr>
      </w:pPr>
      <w:r>
        <w:rPr>
          <w:rFonts w:eastAsia="Times New Roman"/>
        </w:rPr>
        <w:t>akies obuolio infekcija arba uždegimas;</w:t>
      </w:r>
    </w:p>
    <w:p w:rsidR="004570CB" w:rsidRDefault="004570CB" w:rsidP="004570CB">
      <w:pPr>
        <w:numPr>
          <w:ilvl w:val="0"/>
          <w:numId w:val="23"/>
        </w:numPr>
        <w:tabs>
          <w:tab w:val="left" w:pos="282"/>
        </w:tabs>
        <w:ind w:left="282" w:right="886" w:hanging="281"/>
        <w:rPr>
          <w:rFonts w:eastAsia="Times New Roman"/>
        </w:rPr>
      </w:pPr>
      <w:r>
        <w:rPr>
          <w:rFonts w:eastAsia="Times New Roman"/>
        </w:rPr>
        <w:t>akies paraudimas, mažos dalelės arba dėmės regos lauke (plaukiojančios drumzlės), akies skausmas;</w:t>
      </w:r>
    </w:p>
    <w:p w:rsidR="004570CB" w:rsidRDefault="004570CB" w:rsidP="004570CB">
      <w:pPr>
        <w:numPr>
          <w:ilvl w:val="0"/>
          <w:numId w:val="23"/>
        </w:numPr>
        <w:tabs>
          <w:tab w:val="left" w:pos="282"/>
        </w:tabs>
        <w:ind w:left="282" w:right="566" w:hanging="281"/>
        <w:rPr>
          <w:rFonts w:eastAsia="Times New Roman"/>
        </w:rPr>
      </w:pPr>
      <w:r>
        <w:rPr>
          <w:rFonts w:eastAsia="Times New Roman"/>
        </w:rPr>
        <w:t>matomi šviesos žybsniai ir plaukiojančios drumzlės, progresuojantis regėjimo silpnėjimas iki dalinio aklumo;</w:t>
      </w:r>
    </w:p>
    <w:p w:rsidR="004570CB" w:rsidRDefault="004570CB" w:rsidP="004570CB">
      <w:pPr>
        <w:numPr>
          <w:ilvl w:val="0"/>
          <w:numId w:val="23"/>
        </w:numPr>
        <w:tabs>
          <w:tab w:val="left" w:pos="282"/>
        </w:tabs>
        <w:spacing w:line="239" w:lineRule="auto"/>
        <w:ind w:left="282" w:hanging="281"/>
        <w:rPr>
          <w:rFonts w:eastAsia="Times New Roman"/>
        </w:rPr>
      </w:pPr>
      <w:r>
        <w:rPr>
          <w:rFonts w:eastAsia="Times New Roman"/>
        </w:rPr>
        <w:t>padidėjęs akispūdis;</w:t>
      </w:r>
    </w:p>
    <w:p w:rsidR="004570CB" w:rsidRDefault="004570CB" w:rsidP="004570CB">
      <w:pPr>
        <w:numPr>
          <w:ilvl w:val="0"/>
          <w:numId w:val="23"/>
        </w:numPr>
        <w:tabs>
          <w:tab w:val="left" w:pos="282"/>
        </w:tabs>
        <w:ind w:left="282" w:hanging="281"/>
        <w:rPr>
          <w:rFonts w:eastAsia="Times New Roman"/>
        </w:rPr>
      </w:pPr>
      <w:r>
        <w:rPr>
          <w:rFonts w:eastAsia="Times New Roman"/>
        </w:rPr>
        <w:t>kraujavimas į akį.</w:t>
      </w:r>
    </w:p>
    <w:p w:rsidR="004570CB" w:rsidRDefault="004570CB" w:rsidP="004570CB">
      <w:pPr>
        <w:spacing w:line="253" w:lineRule="exact"/>
        <w:rPr>
          <w:sz w:val="20"/>
          <w:szCs w:val="20"/>
        </w:rPr>
      </w:pPr>
    </w:p>
    <w:p w:rsidR="004570CB" w:rsidRDefault="004570CB" w:rsidP="004570CB">
      <w:pPr>
        <w:ind w:left="2"/>
        <w:rPr>
          <w:sz w:val="20"/>
          <w:szCs w:val="20"/>
        </w:rPr>
      </w:pPr>
      <w:r>
        <w:rPr>
          <w:rFonts w:eastAsia="Times New Roman"/>
          <w:b/>
          <w:bCs/>
        </w:rPr>
        <w:t>Pranešimas apie šalutinį poveikį</w:t>
      </w:r>
    </w:p>
    <w:p w:rsidR="004570CB" w:rsidRDefault="004570CB" w:rsidP="004570CB">
      <w:pPr>
        <w:spacing w:line="253" w:lineRule="auto"/>
        <w:ind w:left="2" w:right="446"/>
        <w:rPr>
          <w:rFonts w:eastAsia="Times New Roman"/>
        </w:rPr>
      </w:pPr>
      <w:r>
        <w:rPr>
          <w:rFonts w:eastAsia="Times New Roman"/>
        </w:rPr>
        <w:t>Jeigu pasireiškė šalutinis poveikis, įskaitant šiame lapelyje nenurodytą, pasakykite gydytojui,vaistininkui arba slaugytojui. Apie šalutinį poveikį taip pat galite pranešti tiesiogiai naudodamiesi</w:t>
      </w:r>
      <w:r>
        <w:rPr>
          <w:rFonts w:eastAsia="Times New Roman"/>
          <w:color w:val="0000FF"/>
        </w:rPr>
        <w:t xml:space="preserve"> </w:t>
      </w:r>
      <w:hyperlink r:id="rId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 informacijos apie šio vaisto saugumą.</w:t>
      </w:r>
    </w:p>
    <w:p w:rsidR="004570CB" w:rsidRDefault="004570CB" w:rsidP="004570CB">
      <w:pPr>
        <w:spacing w:line="200" w:lineRule="exact"/>
        <w:rPr>
          <w:sz w:val="20"/>
          <w:szCs w:val="20"/>
        </w:rPr>
      </w:pPr>
    </w:p>
    <w:p w:rsidR="004570CB" w:rsidRDefault="004570CB" w:rsidP="004570CB">
      <w:pPr>
        <w:spacing w:line="254" w:lineRule="exact"/>
        <w:rPr>
          <w:sz w:val="20"/>
          <w:szCs w:val="20"/>
        </w:rPr>
      </w:pPr>
    </w:p>
    <w:p w:rsidR="004570CB" w:rsidRDefault="004570CB" w:rsidP="004570CB">
      <w:pPr>
        <w:numPr>
          <w:ilvl w:val="0"/>
          <w:numId w:val="24"/>
        </w:numPr>
        <w:tabs>
          <w:tab w:val="left" w:pos="562"/>
        </w:tabs>
        <w:ind w:left="562" w:hanging="562"/>
        <w:rPr>
          <w:rFonts w:eastAsia="Times New Roman"/>
          <w:b/>
          <w:bCs/>
        </w:rPr>
      </w:pPr>
      <w:r>
        <w:rPr>
          <w:rFonts w:eastAsia="Times New Roman"/>
          <w:b/>
          <w:bCs/>
        </w:rPr>
        <w:t>Kaip laikyti Avastin</w:t>
      </w:r>
    </w:p>
    <w:p w:rsidR="004570CB" w:rsidRDefault="004570CB" w:rsidP="004570CB">
      <w:pPr>
        <w:rPr>
          <w:rFonts w:eastAsia="Times New Roman"/>
        </w:rPr>
      </w:pPr>
    </w:p>
    <w:p w:rsidR="004570CB" w:rsidRPr="002351C7" w:rsidRDefault="004570CB" w:rsidP="004570CB">
      <w:pPr>
        <w:rPr>
          <w:sz w:val="20"/>
          <w:szCs w:val="20"/>
        </w:rPr>
      </w:pPr>
      <w:r w:rsidRPr="002351C7">
        <w:rPr>
          <w:rFonts w:eastAsia="Times New Roman"/>
        </w:rPr>
        <w:t>Šį vaistą laikykite vaikams nepastebimoje ir nepasiekiamoje vietoje.</w:t>
      </w:r>
    </w:p>
    <w:p w:rsidR="004570CB" w:rsidRDefault="004570CB" w:rsidP="004570CB">
      <w:pPr>
        <w:spacing w:line="281" w:lineRule="auto"/>
        <w:ind w:left="2" w:right="286"/>
        <w:rPr>
          <w:sz w:val="20"/>
          <w:szCs w:val="20"/>
        </w:rPr>
      </w:pPr>
      <w:r>
        <w:rPr>
          <w:rFonts w:eastAsia="Times New Roman"/>
        </w:rPr>
        <w:t>Ant dėžutės ir flakono etiketės po „Tinka iki“ / „EXP“ nurodytam tinkamumo laikui pasibaigus, šio vaisto vartoti negalima. Vaistas tinkamas vartoti iki paskutinės nurodyto mėnesio dienos.</w:t>
      </w:r>
    </w:p>
    <w:p w:rsidR="004570CB" w:rsidRDefault="004570CB" w:rsidP="004570CB">
      <w:pPr>
        <w:spacing w:line="167" w:lineRule="exact"/>
        <w:rPr>
          <w:sz w:val="20"/>
          <w:szCs w:val="20"/>
        </w:rPr>
      </w:pPr>
    </w:p>
    <w:p w:rsidR="004570CB" w:rsidRDefault="004570CB" w:rsidP="004570CB">
      <w:pPr>
        <w:ind w:left="2"/>
        <w:rPr>
          <w:sz w:val="20"/>
          <w:szCs w:val="20"/>
        </w:rPr>
      </w:pPr>
      <w:r>
        <w:rPr>
          <w:rFonts w:eastAsia="Times New Roman"/>
        </w:rPr>
        <w:t>Laikyti šaldytuve (2°C - 8°C).</w:t>
      </w:r>
    </w:p>
    <w:p w:rsidR="004570CB" w:rsidRDefault="004570CB" w:rsidP="004570CB">
      <w:pPr>
        <w:spacing w:line="239" w:lineRule="auto"/>
        <w:ind w:left="2"/>
        <w:rPr>
          <w:sz w:val="20"/>
          <w:szCs w:val="20"/>
        </w:rPr>
      </w:pPr>
      <w:r>
        <w:rPr>
          <w:rFonts w:eastAsia="Times New Roman"/>
        </w:rPr>
        <w:t>Negalima užšaldyti.</w:t>
      </w:r>
    </w:p>
    <w:p w:rsidR="004570CB" w:rsidRDefault="004570CB" w:rsidP="004570CB">
      <w:pPr>
        <w:ind w:left="2"/>
        <w:rPr>
          <w:sz w:val="20"/>
          <w:szCs w:val="20"/>
        </w:rPr>
      </w:pPr>
      <w:r>
        <w:rPr>
          <w:rFonts w:eastAsia="Times New Roman"/>
        </w:rPr>
        <w:t>Flakoną laikyti išorinėje dėžutėje, kad vaistas būtų apsaugotas nuo šviesos.</w:t>
      </w:r>
    </w:p>
    <w:p w:rsidR="004570CB" w:rsidRDefault="004570CB" w:rsidP="004570CB">
      <w:pPr>
        <w:spacing w:line="253" w:lineRule="exact"/>
        <w:rPr>
          <w:sz w:val="20"/>
          <w:szCs w:val="20"/>
        </w:rPr>
      </w:pPr>
    </w:p>
    <w:p w:rsidR="004570CB" w:rsidRDefault="004570CB" w:rsidP="004570CB">
      <w:pPr>
        <w:spacing w:line="250" w:lineRule="auto"/>
        <w:ind w:left="2" w:right="166"/>
        <w:rPr>
          <w:sz w:val="20"/>
          <w:szCs w:val="20"/>
        </w:rPr>
      </w:pPr>
      <w:r>
        <w:rPr>
          <w:rFonts w:eastAsia="Times New Roman"/>
        </w:rPr>
        <w:t>Infuzinius tirpalus reikia suvartoti tuoj pat po jų praskiedimo. Jeigu paruoštas vaistas tuoj pat nesuvartojamas, už tolesnį jo laikymo laiką ir sąlygas atsako vartotojas, bet paprastai turėtų būti laikoma ne ilgiau negu 24 valandas 2°C - 8°C temperatūroje, nebent skiedžiama esant aseptinėms sąlygoms. Kuomet skiedžiama esant aseptinėms sąlygoms, Avastin patvarus išlieka 30 dienų, laikant 2°C - 8°C temperatūroje, ir papildomai 48 valandas, laikant 2°C - 30°C temperatūroje.</w:t>
      </w:r>
    </w:p>
    <w:p w:rsidR="004570CB" w:rsidRDefault="004570CB" w:rsidP="004570CB">
      <w:pPr>
        <w:spacing w:line="201" w:lineRule="exact"/>
        <w:rPr>
          <w:sz w:val="20"/>
          <w:szCs w:val="20"/>
        </w:rPr>
      </w:pPr>
    </w:p>
    <w:p w:rsidR="004570CB" w:rsidRDefault="004570CB" w:rsidP="004570CB">
      <w:pPr>
        <w:ind w:left="2"/>
        <w:rPr>
          <w:sz w:val="20"/>
          <w:szCs w:val="20"/>
        </w:rPr>
      </w:pPr>
      <w:r>
        <w:rPr>
          <w:rFonts w:eastAsia="Times New Roman"/>
        </w:rPr>
        <w:t>Prieš vartojimą pastebėjus matomų dalelių ar pakitusią spalvą, Avastin vartoti negalima.</w:t>
      </w:r>
    </w:p>
    <w:p w:rsidR="004570CB" w:rsidRDefault="004570CB" w:rsidP="004570CB">
      <w:pPr>
        <w:spacing w:line="251" w:lineRule="exact"/>
        <w:rPr>
          <w:sz w:val="20"/>
          <w:szCs w:val="20"/>
        </w:rPr>
      </w:pPr>
    </w:p>
    <w:p w:rsidR="004570CB" w:rsidRDefault="004570CB" w:rsidP="004570CB">
      <w:pPr>
        <w:spacing w:line="281" w:lineRule="auto"/>
        <w:ind w:left="2" w:right="606"/>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4570CB" w:rsidRDefault="004570CB" w:rsidP="004570CB">
      <w:pPr>
        <w:tabs>
          <w:tab w:val="left" w:pos="562"/>
        </w:tabs>
        <w:ind w:left="562"/>
        <w:rPr>
          <w:rFonts w:eastAsia="Times New Roman"/>
          <w:b/>
          <w:bCs/>
        </w:rPr>
      </w:pPr>
    </w:p>
    <w:p w:rsidR="004570CB" w:rsidRDefault="004570CB" w:rsidP="004570CB">
      <w:pPr>
        <w:numPr>
          <w:ilvl w:val="0"/>
          <w:numId w:val="24"/>
        </w:numPr>
        <w:tabs>
          <w:tab w:val="left" w:pos="562"/>
        </w:tabs>
        <w:ind w:left="562" w:hanging="562"/>
        <w:rPr>
          <w:rFonts w:eastAsia="Times New Roman"/>
          <w:b/>
          <w:bCs/>
        </w:rPr>
      </w:pPr>
      <w:r>
        <w:rPr>
          <w:rFonts w:eastAsia="Times New Roman"/>
          <w:b/>
          <w:bCs/>
        </w:rPr>
        <w:t>Pakuotės turinys ir kita informacija</w:t>
      </w:r>
    </w:p>
    <w:p w:rsidR="004570CB" w:rsidRPr="002351C7" w:rsidRDefault="004570CB" w:rsidP="004570CB">
      <w:pPr>
        <w:tabs>
          <w:tab w:val="left" w:pos="562"/>
        </w:tabs>
        <w:ind w:left="562"/>
        <w:rPr>
          <w:rFonts w:eastAsia="Times New Roman"/>
          <w:b/>
          <w:bCs/>
        </w:rPr>
      </w:pPr>
    </w:p>
    <w:p w:rsidR="004570CB" w:rsidRDefault="004570CB" w:rsidP="004570CB">
      <w:pPr>
        <w:ind w:left="2"/>
        <w:rPr>
          <w:sz w:val="20"/>
          <w:szCs w:val="20"/>
        </w:rPr>
      </w:pPr>
      <w:r>
        <w:rPr>
          <w:rFonts w:eastAsia="Times New Roman"/>
          <w:b/>
          <w:bCs/>
        </w:rPr>
        <w:t>Avastin sudėtis</w:t>
      </w:r>
    </w:p>
    <w:p w:rsidR="004570CB" w:rsidRDefault="004570CB" w:rsidP="004570CB">
      <w:pPr>
        <w:spacing w:line="252" w:lineRule="exact"/>
        <w:rPr>
          <w:sz w:val="20"/>
          <w:szCs w:val="20"/>
        </w:rPr>
      </w:pPr>
    </w:p>
    <w:p w:rsidR="004570CB" w:rsidRDefault="004570CB" w:rsidP="004570CB">
      <w:pPr>
        <w:numPr>
          <w:ilvl w:val="0"/>
          <w:numId w:val="25"/>
        </w:numPr>
        <w:tabs>
          <w:tab w:val="left" w:pos="562"/>
        </w:tabs>
        <w:spacing w:line="239" w:lineRule="auto"/>
        <w:ind w:left="562" w:right="986" w:hanging="562"/>
        <w:rPr>
          <w:rFonts w:eastAsia="Times New Roman"/>
        </w:rPr>
      </w:pPr>
      <w:r>
        <w:rPr>
          <w:rFonts w:eastAsia="Times New Roman"/>
        </w:rPr>
        <w:t>Veiklioji medžiaga yra bevacizumabas. Kiekviename koncentrato mililitre yra 25 mg bevacizumabo; ištirpinus taip, kaip rekomenduojama, tai atitinka 1,4-16,5 mg/ml. Kiekviename 4 ml tūrio flakone yra 100 mg bevacizumabo; ištirpinus taip, kaip rekomenduojama, tai atitinka 1,4 mg/ml.</w:t>
      </w:r>
    </w:p>
    <w:p w:rsidR="004570CB" w:rsidRDefault="004570CB" w:rsidP="004570CB">
      <w:pPr>
        <w:spacing w:line="2" w:lineRule="exact"/>
        <w:rPr>
          <w:rFonts w:eastAsia="Times New Roman"/>
        </w:rPr>
      </w:pPr>
    </w:p>
    <w:p w:rsidR="004570CB" w:rsidRDefault="004570CB" w:rsidP="004570CB">
      <w:pPr>
        <w:ind w:left="562" w:right="1366"/>
        <w:rPr>
          <w:rFonts w:eastAsia="Times New Roman"/>
        </w:rPr>
      </w:pPr>
      <w:r>
        <w:rPr>
          <w:rFonts w:eastAsia="Times New Roman"/>
        </w:rPr>
        <w:t>Kiekviename 16 ml tūrio flakone yra 400 mg bevacizumabo; ištirpinus taip, kaip rekomenduojama, tai atitinka 16,5 mg/ml.</w:t>
      </w:r>
    </w:p>
    <w:p w:rsidR="004570CB" w:rsidRDefault="004570CB" w:rsidP="004570CB">
      <w:pPr>
        <w:numPr>
          <w:ilvl w:val="0"/>
          <w:numId w:val="25"/>
        </w:numPr>
        <w:tabs>
          <w:tab w:val="left" w:pos="562"/>
        </w:tabs>
        <w:spacing w:line="281" w:lineRule="auto"/>
        <w:ind w:left="562" w:right="126" w:hanging="562"/>
        <w:rPr>
          <w:rFonts w:eastAsia="Times New Roman"/>
        </w:rPr>
      </w:pPr>
      <w:r>
        <w:rPr>
          <w:rFonts w:eastAsia="Times New Roman"/>
        </w:rPr>
        <w:t>Pagalbinės medžiagos yra trehalozė dihidratas, natrio fosfatas (žr. 2 skyrių “Svarbi informacija apie kai kurias Avastin pagalbines medžiagas“), polisorbatas 20 ir injekcinis vanduo.</w:t>
      </w:r>
    </w:p>
    <w:p w:rsidR="004570CB" w:rsidRDefault="004570CB" w:rsidP="004570CB">
      <w:pPr>
        <w:sectPr w:rsidR="004570CB">
          <w:pgSz w:w="11900" w:h="16838"/>
          <w:pgMar w:top="1102" w:right="1440" w:bottom="192" w:left="1418" w:header="0" w:footer="0" w:gutter="0"/>
          <w:cols w:space="720" w:equalWidth="0">
            <w:col w:w="9048"/>
          </w:cols>
        </w:sectPr>
      </w:pPr>
    </w:p>
    <w:p w:rsidR="004570CB" w:rsidRDefault="004570CB" w:rsidP="004570CB">
      <w:pPr>
        <w:spacing w:line="200" w:lineRule="exact"/>
        <w:rPr>
          <w:sz w:val="20"/>
          <w:szCs w:val="20"/>
        </w:rPr>
      </w:pPr>
    </w:p>
    <w:p w:rsidR="004570CB" w:rsidRDefault="004570CB" w:rsidP="004570CB">
      <w:pPr>
        <w:spacing w:line="200" w:lineRule="exact"/>
        <w:rPr>
          <w:sz w:val="20"/>
          <w:szCs w:val="20"/>
        </w:rPr>
      </w:pPr>
    </w:p>
    <w:p w:rsidR="004570CB" w:rsidRDefault="004570CB" w:rsidP="004570CB">
      <w:pPr>
        <w:spacing w:line="396" w:lineRule="exact"/>
        <w:rPr>
          <w:sz w:val="20"/>
          <w:szCs w:val="20"/>
        </w:rPr>
      </w:pPr>
    </w:p>
    <w:p w:rsidR="004570CB" w:rsidRDefault="004570CB" w:rsidP="004570CB">
      <w:pPr>
        <w:ind w:right="344"/>
        <w:jc w:val="center"/>
        <w:rPr>
          <w:sz w:val="20"/>
          <w:szCs w:val="20"/>
        </w:rPr>
      </w:pPr>
      <w:r>
        <w:rPr>
          <w:rFonts w:ascii="Arial" w:eastAsia="Arial" w:hAnsi="Arial" w:cs="Arial"/>
          <w:sz w:val="16"/>
          <w:szCs w:val="16"/>
        </w:rPr>
        <w:t>78</w:t>
      </w:r>
    </w:p>
    <w:p w:rsidR="004570CB" w:rsidRDefault="004570CB" w:rsidP="004570CB">
      <w:pPr>
        <w:sectPr w:rsidR="004570CB">
          <w:type w:val="continuous"/>
          <w:pgSz w:w="11900" w:h="16838"/>
          <w:pgMar w:top="1102" w:right="1440" w:bottom="192" w:left="1418" w:header="0" w:footer="0" w:gutter="0"/>
          <w:cols w:space="720" w:equalWidth="0">
            <w:col w:w="9048"/>
          </w:cols>
        </w:sectPr>
      </w:pPr>
    </w:p>
    <w:p w:rsidR="004570CB" w:rsidRDefault="004570CB" w:rsidP="004570CB">
      <w:pPr>
        <w:rPr>
          <w:sz w:val="20"/>
          <w:szCs w:val="20"/>
        </w:rPr>
      </w:pPr>
      <w:bookmarkStart w:id="7" w:name="page79"/>
      <w:bookmarkEnd w:id="7"/>
      <w:r>
        <w:rPr>
          <w:rFonts w:eastAsia="Times New Roman"/>
          <w:b/>
          <w:bCs/>
        </w:rPr>
        <w:t>Avastin išvaizda ir kiekis pakuotėje</w:t>
      </w:r>
    </w:p>
    <w:p w:rsidR="004570CB" w:rsidRDefault="004570CB" w:rsidP="004570CB">
      <w:pPr>
        <w:spacing w:line="260" w:lineRule="auto"/>
        <w:ind w:right="86"/>
        <w:rPr>
          <w:sz w:val="20"/>
          <w:szCs w:val="20"/>
        </w:rPr>
      </w:pPr>
      <w:r>
        <w:rPr>
          <w:rFonts w:eastAsia="Times New Roman"/>
        </w:rPr>
        <w:t>Avastin yra koncentratas infuziniam tirpalui. Koncentratas yra skaidrus, bespalvis ar rusvas skystis stiklo flakone, užkimštame guminiu kamščiu. Kiekviename flakone yra 100 mg bevacizumabo / 4 ml tirpalo arba 400 mg bevacizumabo /16 ml tirpalo. Kiekvienoje Avastin pakuotėje yra vienas flakonas.</w:t>
      </w:r>
    </w:p>
    <w:p w:rsidR="004570CB" w:rsidRDefault="004570CB" w:rsidP="004570CB">
      <w:pPr>
        <w:spacing w:line="190" w:lineRule="exact"/>
        <w:rPr>
          <w:sz w:val="20"/>
          <w:szCs w:val="20"/>
        </w:rPr>
      </w:pPr>
    </w:p>
    <w:p w:rsidR="004570CB" w:rsidRDefault="004570CB" w:rsidP="004570CB">
      <w:pPr>
        <w:rPr>
          <w:sz w:val="20"/>
          <w:szCs w:val="20"/>
        </w:rPr>
      </w:pPr>
      <w:r>
        <w:rPr>
          <w:rFonts w:eastAsia="Times New Roman"/>
          <w:b/>
          <w:bCs/>
        </w:rPr>
        <w:t>Registruotojas</w:t>
      </w:r>
    </w:p>
    <w:p w:rsidR="004570CB" w:rsidRDefault="004570CB" w:rsidP="004570CB">
      <w:pPr>
        <w:rPr>
          <w:sz w:val="20"/>
          <w:szCs w:val="20"/>
        </w:rPr>
      </w:pPr>
      <w:r>
        <w:rPr>
          <w:rFonts w:eastAsia="Times New Roman"/>
        </w:rPr>
        <w:t>Roche Registration GmbH</w:t>
      </w:r>
    </w:p>
    <w:p w:rsidR="004570CB" w:rsidRDefault="004570CB" w:rsidP="004570CB">
      <w:pPr>
        <w:rPr>
          <w:sz w:val="20"/>
          <w:szCs w:val="20"/>
        </w:rPr>
      </w:pPr>
      <w:r>
        <w:rPr>
          <w:rFonts w:eastAsia="Times New Roman"/>
        </w:rPr>
        <w:t>Emil-Barell-Strasse 1</w:t>
      </w:r>
    </w:p>
    <w:p w:rsidR="004570CB" w:rsidRDefault="004570CB" w:rsidP="004570CB">
      <w:pPr>
        <w:rPr>
          <w:sz w:val="20"/>
          <w:szCs w:val="20"/>
        </w:rPr>
      </w:pPr>
      <w:r>
        <w:rPr>
          <w:rFonts w:eastAsia="Times New Roman"/>
        </w:rPr>
        <w:t>79639 Grenzach-Wyhlen</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Vokietija</w:t>
      </w:r>
    </w:p>
    <w:p w:rsidR="004570CB" w:rsidRDefault="004570CB" w:rsidP="004570CB">
      <w:pPr>
        <w:spacing w:line="252" w:lineRule="exact"/>
        <w:rPr>
          <w:sz w:val="20"/>
          <w:szCs w:val="20"/>
        </w:rPr>
      </w:pPr>
    </w:p>
    <w:p w:rsidR="004570CB" w:rsidRDefault="004570CB" w:rsidP="004570CB">
      <w:pPr>
        <w:rPr>
          <w:sz w:val="20"/>
          <w:szCs w:val="20"/>
        </w:rPr>
      </w:pPr>
      <w:r>
        <w:rPr>
          <w:rFonts w:eastAsia="Times New Roman"/>
          <w:b/>
          <w:bCs/>
        </w:rPr>
        <w:t>Gamintojas</w:t>
      </w:r>
    </w:p>
    <w:p w:rsidR="004570CB" w:rsidRDefault="004570CB" w:rsidP="004570CB">
      <w:pPr>
        <w:rPr>
          <w:sz w:val="20"/>
          <w:szCs w:val="20"/>
        </w:rPr>
      </w:pPr>
      <w:r>
        <w:rPr>
          <w:rFonts w:eastAsia="Times New Roman"/>
        </w:rPr>
        <w:t>Roche Pharma AG</w:t>
      </w:r>
    </w:p>
    <w:p w:rsidR="004570CB" w:rsidRDefault="004570CB" w:rsidP="004570CB">
      <w:pPr>
        <w:rPr>
          <w:sz w:val="20"/>
          <w:szCs w:val="20"/>
        </w:rPr>
      </w:pPr>
      <w:r>
        <w:rPr>
          <w:rFonts w:eastAsia="Times New Roman"/>
        </w:rPr>
        <w:t>Emil-Barell-Str. 1</w:t>
      </w:r>
    </w:p>
    <w:p w:rsidR="004570CB" w:rsidRDefault="004570CB" w:rsidP="004570CB">
      <w:pPr>
        <w:rPr>
          <w:sz w:val="20"/>
          <w:szCs w:val="20"/>
        </w:rPr>
      </w:pPr>
      <w:r>
        <w:rPr>
          <w:rFonts w:eastAsia="Times New Roman"/>
        </w:rPr>
        <w:t>79639 Grenzach-Wyhlen</w:t>
      </w:r>
    </w:p>
    <w:p w:rsidR="004570CB" w:rsidRDefault="004570CB" w:rsidP="004570CB">
      <w:pPr>
        <w:rPr>
          <w:sz w:val="20"/>
          <w:szCs w:val="20"/>
        </w:rPr>
      </w:pPr>
      <w:r>
        <w:rPr>
          <w:rFonts w:eastAsia="Times New Roman"/>
        </w:rPr>
        <w:t>Vokietija</w:t>
      </w:r>
    </w:p>
    <w:p w:rsidR="004570CB" w:rsidRDefault="004570CB" w:rsidP="004570CB">
      <w:pPr>
        <w:spacing w:line="253" w:lineRule="exact"/>
        <w:rPr>
          <w:sz w:val="20"/>
          <w:szCs w:val="20"/>
        </w:rPr>
      </w:pPr>
    </w:p>
    <w:p w:rsidR="004570CB" w:rsidRDefault="004570CB" w:rsidP="004570CB">
      <w:pPr>
        <w:rPr>
          <w:sz w:val="20"/>
          <w:szCs w:val="20"/>
        </w:rPr>
      </w:pPr>
      <w:r>
        <w:rPr>
          <w:rFonts w:eastAsia="Times New Roman"/>
        </w:rPr>
        <w:t>Jeigu apie šį vaistą norite sužinoti daugiau, kreipkitės į vietinį registruotojo atstovą:</w:t>
      </w:r>
    </w:p>
    <w:p w:rsidR="004570CB" w:rsidRDefault="004570CB" w:rsidP="004570CB">
      <w:pPr>
        <w:sectPr w:rsidR="004570CB">
          <w:pgSz w:w="11900" w:h="16838"/>
          <w:pgMar w:top="1355" w:right="1440" w:bottom="192" w:left="1420" w:header="0" w:footer="0" w:gutter="0"/>
          <w:cols w:space="720" w:equalWidth="0">
            <w:col w:w="9046"/>
          </w:cols>
        </w:sectPr>
      </w:pPr>
    </w:p>
    <w:p w:rsidR="004570CB" w:rsidRDefault="004570CB" w:rsidP="004570CB">
      <w:pPr>
        <w:spacing w:line="253" w:lineRule="exact"/>
        <w:rPr>
          <w:sz w:val="20"/>
          <w:szCs w:val="20"/>
        </w:rPr>
      </w:pPr>
    </w:p>
    <w:p w:rsidR="004570CB" w:rsidRDefault="004570CB" w:rsidP="004570CB">
      <w:pPr>
        <w:rPr>
          <w:sz w:val="20"/>
          <w:szCs w:val="20"/>
        </w:rPr>
      </w:pPr>
      <w:r>
        <w:rPr>
          <w:rFonts w:eastAsia="Times New Roman"/>
          <w:b/>
          <w:bCs/>
        </w:rPr>
        <w:t>België/Belgique/Belgien</w:t>
      </w:r>
    </w:p>
    <w:p w:rsidR="004570CB" w:rsidRDefault="004570CB" w:rsidP="004570CB">
      <w:pPr>
        <w:spacing w:line="239" w:lineRule="auto"/>
        <w:rPr>
          <w:sz w:val="20"/>
          <w:szCs w:val="20"/>
        </w:rPr>
      </w:pPr>
      <w:r>
        <w:rPr>
          <w:rFonts w:eastAsia="Times New Roman"/>
        </w:rPr>
        <w:t>N.V. Roche S.A.</w:t>
      </w:r>
    </w:p>
    <w:p w:rsidR="004570CB" w:rsidRDefault="004570CB" w:rsidP="004570CB">
      <w:pPr>
        <w:rPr>
          <w:sz w:val="20"/>
          <w:szCs w:val="20"/>
        </w:rPr>
      </w:pPr>
      <w:r>
        <w:rPr>
          <w:rFonts w:eastAsia="Times New Roman"/>
        </w:rPr>
        <w:t>Tél/Tel: +32 (0) 2 525 82 11</w:t>
      </w:r>
    </w:p>
    <w:p w:rsidR="004570CB" w:rsidRDefault="004570CB" w:rsidP="004570CB">
      <w:pPr>
        <w:spacing w:line="20" w:lineRule="exact"/>
        <w:rPr>
          <w:sz w:val="20"/>
          <w:szCs w:val="20"/>
        </w:rPr>
      </w:pPr>
      <w:r>
        <w:rPr>
          <w:sz w:val="20"/>
          <w:szCs w:val="20"/>
        </w:rPr>
        <w:br w:type="column"/>
      </w:r>
    </w:p>
    <w:p w:rsidR="004570CB" w:rsidRDefault="004570CB" w:rsidP="004570CB">
      <w:pPr>
        <w:spacing w:line="233" w:lineRule="exact"/>
        <w:rPr>
          <w:sz w:val="20"/>
          <w:szCs w:val="20"/>
        </w:rPr>
      </w:pPr>
    </w:p>
    <w:p w:rsidR="004570CB" w:rsidRDefault="004570CB" w:rsidP="004570CB">
      <w:pPr>
        <w:rPr>
          <w:sz w:val="20"/>
          <w:szCs w:val="20"/>
        </w:rPr>
      </w:pPr>
      <w:r>
        <w:rPr>
          <w:rFonts w:eastAsia="Times New Roman"/>
          <w:b/>
          <w:bCs/>
        </w:rPr>
        <w:t>Lietuva</w:t>
      </w:r>
    </w:p>
    <w:p w:rsidR="004570CB" w:rsidRDefault="004570CB" w:rsidP="004570CB">
      <w:pPr>
        <w:spacing w:line="239" w:lineRule="auto"/>
        <w:rPr>
          <w:sz w:val="20"/>
          <w:szCs w:val="20"/>
        </w:rPr>
      </w:pPr>
      <w:r>
        <w:rPr>
          <w:rFonts w:eastAsia="Times New Roman"/>
        </w:rPr>
        <w:t>UAB “Roche Lietuva”</w:t>
      </w:r>
    </w:p>
    <w:p w:rsidR="004570CB" w:rsidRDefault="004570CB" w:rsidP="004570CB">
      <w:pPr>
        <w:rPr>
          <w:sz w:val="20"/>
          <w:szCs w:val="20"/>
        </w:rPr>
      </w:pPr>
      <w:r>
        <w:rPr>
          <w:rFonts w:eastAsia="Times New Roman"/>
        </w:rPr>
        <w:t>Tel: +370 5 2546799</w:t>
      </w:r>
    </w:p>
    <w:p w:rsidR="004570CB" w:rsidRDefault="004570CB" w:rsidP="004570CB">
      <w:pPr>
        <w:spacing w:line="200"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56" w:lineRule="exact"/>
        <w:rPr>
          <w:sz w:val="20"/>
          <w:szCs w:val="20"/>
        </w:rPr>
      </w:pPr>
    </w:p>
    <w:p w:rsidR="004570CB" w:rsidRDefault="004570CB" w:rsidP="004570CB">
      <w:pPr>
        <w:rPr>
          <w:sz w:val="20"/>
          <w:szCs w:val="20"/>
        </w:rPr>
      </w:pPr>
      <w:r>
        <w:rPr>
          <w:rFonts w:eastAsia="Times New Roman"/>
          <w:b/>
          <w:bCs/>
        </w:rPr>
        <w:t>България</w:t>
      </w:r>
    </w:p>
    <w:p w:rsidR="004570CB" w:rsidRDefault="004570CB" w:rsidP="004570CB">
      <w:pPr>
        <w:spacing w:line="20" w:lineRule="exact"/>
        <w:rPr>
          <w:sz w:val="20"/>
          <w:szCs w:val="20"/>
        </w:rPr>
      </w:pPr>
      <w:r>
        <w:rPr>
          <w:sz w:val="20"/>
          <w:szCs w:val="20"/>
        </w:rPr>
        <w:br w:type="column"/>
      </w:r>
    </w:p>
    <w:p w:rsidR="004570CB" w:rsidRDefault="004570CB" w:rsidP="004570CB">
      <w:pPr>
        <w:spacing w:line="36" w:lineRule="exact"/>
        <w:rPr>
          <w:sz w:val="20"/>
          <w:szCs w:val="20"/>
        </w:rPr>
      </w:pPr>
    </w:p>
    <w:p w:rsidR="004570CB" w:rsidRDefault="004570CB" w:rsidP="004570CB">
      <w:pPr>
        <w:rPr>
          <w:sz w:val="20"/>
          <w:szCs w:val="20"/>
        </w:rPr>
      </w:pPr>
      <w:r>
        <w:rPr>
          <w:rFonts w:eastAsia="Times New Roman"/>
          <w:b/>
          <w:bCs/>
        </w:rPr>
        <w:t>Luxembourg/Luxemburg</w:t>
      </w:r>
    </w:p>
    <w:p w:rsidR="004570CB" w:rsidRDefault="004570CB" w:rsidP="004570CB">
      <w:pPr>
        <w:spacing w:line="42"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9" w:lineRule="exact"/>
        <w:rPr>
          <w:sz w:val="20"/>
          <w:szCs w:val="20"/>
        </w:rPr>
      </w:pPr>
    </w:p>
    <w:p w:rsidR="004570CB" w:rsidRDefault="004570CB" w:rsidP="004570CB">
      <w:pPr>
        <w:rPr>
          <w:sz w:val="20"/>
          <w:szCs w:val="20"/>
        </w:rPr>
      </w:pPr>
      <w:r>
        <w:rPr>
          <w:rFonts w:eastAsia="Times New Roman"/>
          <w:sz w:val="21"/>
          <w:szCs w:val="21"/>
        </w:rPr>
        <w:t>Рош България ЕООД</w:t>
      </w:r>
    </w:p>
    <w:p w:rsidR="004570CB" w:rsidRDefault="004570CB" w:rsidP="004570CB">
      <w:pPr>
        <w:spacing w:line="20" w:lineRule="exact"/>
        <w:rPr>
          <w:sz w:val="20"/>
          <w:szCs w:val="20"/>
        </w:rPr>
      </w:pPr>
      <w:r>
        <w:rPr>
          <w:sz w:val="20"/>
          <w:szCs w:val="20"/>
        </w:rPr>
        <w:br w:type="column"/>
      </w:r>
    </w:p>
    <w:p w:rsidR="004570CB" w:rsidRDefault="004570CB" w:rsidP="004570CB">
      <w:pPr>
        <w:rPr>
          <w:sz w:val="20"/>
          <w:szCs w:val="20"/>
        </w:rPr>
      </w:pPr>
      <w:r>
        <w:rPr>
          <w:rFonts w:eastAsia="Times New Roman"/>
        </w:rPr>
        <w:t>(Voir/siehe Belgique/Belgien)</w:t>
      </w:r>
    </w:p>
    <w:p w:rsidR="004570CB" w:rsidRDefault="004570CB" w:rsidP="004570CB">
      <w:pPr>
        <w:spacing w:line="1"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239" w:lineRule="auto"/>
        <w:rPr>
          <w:sz w:val="20"/>
          <w:szCs w:val="20"/>
        </w:rPr>
      </w:pPr>
      <w:r>
        <w:rPr>
          <w:rFonts w:eastAsia="Times New Roman"/>
        </w:rPr>
        <w:t>Тел: +359 2 818 44 44</w:t>
      </w:r>
    </w:p>
    <w:p w:rsidR="004570CB" w:rsidRDefault="004570CB" w:rsidP="004570CB">
      <w:pPr>
        <w:sectPr w:rsidR="004570CB">
          <w:type w:val="continuous"/>
          <w:pgSz w:w="11900" w:h="16838"/>
          <w:pgMar w:top="1355" w:right="1440" w:bottom="192" w:left="1420" w:header="0" w:footer="0" w:gutter="0"/>
          <w:cols w:space="720" w:equalWidth="0">
            <w:col w:w="9046"/>
          </w:cols>
        </w:sectPr>
      </w:pPr>
    </w:p>
    <w:p w:rsidR="004570CB" w:rsidRDefault="004570CB" w:rsidP="004570CB">
      <w:pPr>
        <w:spacing w:line="210" w:lineRule="exact"/>
        <w:rPr>
          <w:sz w:val="20"/>
          <w:szCs w:val="20"/>
        </w:rPr>
      </w:pPr>
    </w:p>
    <w:p w:rsidR="004570CB" w:rsidRDefault="004570CB" w:rsidP="004570CB">
      <w:pPr>
        <w:rPr>
          <w:sz w:val="20"/>
          <w:szCs w:val="20"/>
        </w:rPr>
      </w:pPr>
      <w:r>
        <w:rPr>
          <w:rFonts w:eastAsia="Times New Roman"/>
          <w:b/>
          <w:bCs/>
        </w:rPr>
        <w:t>Česká republika</w:t>
      </w:r>
    </w:p>
    <w:p w:rsidR="004570CB" w:rsidRDefault="004570CB" w:rsidP="004570CB">
      <w:pPr>
        <w:rPr>
          <w:sz w:val="20"/>
          <w:szCs w:val="20"/>
        </w:rPr>
      </w:pPr>
      <w:r>
        <w:rPr>
          <w:rFonts w:eastAsia="Times New Roman"/>
        </w:rPr>
        <w:t>Roche s. r. o.</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Tel: +420 - 2 20382111</w:t>
      </w:r>
    </w:p>
    <w:p w:rsidR="004570CB" w:rsidRDefault="004570CB" w:rsidP="004570CB">
      <w:pPr>
        <w:spacing w:line="20" w:lineRule="exact"/>
        <w:rPr>
          <w:sz w:val="20"/>
          <w:szCs w:val="20"/>
        </w:rPr>
      </w:pPr>
      <w:r>
        <w:rPr>
          <w:sz w:val="20"/>
          <w:szCs w:val="20"/>
        </w:rPr>
        <w:br w:type="column"/>
      </w:r>
    </w:p>
    <w:p w:rsidR="004570CB" w:rsidRDefault="004570CB" w:rsidP="004570CB">
      <w:pPr>
        <w:spacing w:line="190" w:lineRule="exact"/>
        <w:rPr>
          <w:sz w:val="20"/>
          <w:szCs w:val="20"/>
        </w:rPr>
      </w:pPr>
    </w:p>
    <w:p w:rsidR="004570CB" w:rsidRDefault="004570CB" w:rsidP="004570CB">
      <w:pPr>
        <w:rPr>
          <w:sz w:val="20"/>
          <w:szCs w:val="20"/>
        </w:rPr>
      </w:pPr>
      <w:r>
        <w:rPr>
          <w:rFonts w:eastAsia="Times New Roman"/>
          <w:b/>
          <w:bCs/>
        </w:rPr>
        <w:t>Magyarország</w:t>
      </w:r>
    </w:p>
    <w:p w:rsidR="004570CB" w:rsidRDefault="004570CB" w:rsidP="004570CB">
      <w:pPr>
        <w:rPr>
          <w:sz w:val="20"/>
          <w:szCs w:val="20"/>
        </w:rPr>
      </w:pPr>
      <w:r>
        <w:rPr>
          <w:rFonts w:eastAsia="Times New Roman"/>
        </w:rPr>
        <w:t>Roche (Magyarország) Kft.</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Tel: +36 1 279 4500</w:t>
      </w:r>
    </w:p>
    <w:p w:rsidR="004570CB" w:rsidRDefault="004570CB" w:rsidP="004570CB">
      <w:pPr>
        <w:spacing w:line="200"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56" w:lineRule="exact"/>
        <w:rPr>
          <w:sz w:val="20"/>
          <w:szCs w:val="20"/>
        </w:rPr>
      </w:pPr>
    </w:p>
    <w:p w:rsidR="004570CB" w:rsidRDefault="004570CB" w:rsidP="004570CB">
      <w:pPr>
        <w:rPr>
          <w:sz w:val="20"/>
          <w:szCs w:val="20"/>
        </w:rPr>
      </w:pPr>
      <w:r>
        <w:rPr>
          <w:rFonts w:eastAsia="Times New Roman"/>
          <w:b/>
          <w:bCs/>
          <w:sz w:val="21"/>
          <w:szCs w:val="21"/>
        </w:rPr>
        <w:t>Danmark</w:t>
      </w:r>
    </w:p>
    <w:p w:rsidR="004570CB" w:rsidRDefault="004570CB" w:rsidP="004570CB">
      <w:pPr>
        <w:spacing w:line="20" w:lineRule="exact"/>
        <w:rPr>
          <w:sz w:val="20"/>
          <w:szCs w:val="20"/>
        </w:rPr>
      </w:pPr>
      <w:r>
        <w:rPr>
          <w:sz w:val="20"/>
          <w:szCs w:val="20"/>
        </w:rPr>
        <w:br w:type="column"/>
      </w:r>
    </w:p>
    <w:p w:rsidR="004570CB" w:rsidRDefault="004570CB" w:rsidP="004570CB">
      <w:pPr>
        <w:spacing w:line="36" w:lineRule="exact"/>
        <w:rPr>
          <w:sz w:val="20"/>
          <w:szCs w:val="20"/>
        </w:rPr>
      </w:pPr>
    </w:p>
    <w:p w:rsidR="004570CB" w:rsidRDefault="004570CB" w:rsidP="004570CB">
      <w:pPr>
        <w:ind w:right="3886"/>
        <w:jc w:val="center"/>
        <w:rPr>
          <w:sz w:val="20"/>
          <w:szCs w:val="20"/>
        </w:rPr>
      </w:pPr>
      <w:r>
        <w:rPr>
          <w:rFonts w:eastAsia="Times New Roman"/>
          <w:b/>
          <w:bCs/>
        </w:rPr>
        <w:t>Malta</w:t>
      </w:r>
    </w:p>
    <w:p w:rsidR="004570CB" w:rsidRDefault="004570CB" w:rsidP="004570CB">
      <w:pPr>
        <w:spacing w:line="39"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12" w:lineRule="exact"/>
        <w:rPr>
          <w:sz w:val="20"/>
          <w:szCs w:val="20"/>
        </w:rPr>
      </w:pPr>
    </w:p>
    <w:p w:rsidR="004570CB" w:rsidRDefault="004570CB" w:rsidP="004570CB">
      <w:pPr>
        <w:rPr>
          <w:sz w:val="20"/>
          <w:szCs w:val="20"/>
        </w:rPr>
      </w:pPr>
      <w:r>
        <w:rPr>
          <w:rFonts w:eastAsia="Times New Roman"/>
          <w:sz w:val="21"/>
          <w:szCs w:val="21"/>
        </w:rPr>
        <w:t>Roche a/s</w:t>
      </w:r>
    </w:p>
    <w:p w:rsidR="004570CB" w:rsidRDefault="004570CB" w:rsidP="004570CB">
      <w:pPr>
        <w:spacing w:line="20" w:lineRule="exact"/>
        <w:rPr>
          <w:sz w:val="20"/>
          <w:szCs w:val="20"/>
        </w:rPr>
      </w:pPr>
      <w:r>
        <w:rPr>
          <w:sz w:val="20"/>
          <w:szCs w:val="20"/>
        </w:rPr>
        <w:br w:type="column"/>
      </w:r>
    </w:p>
    <w:p w:rsidR="004570CB" w:rsidRDefault="004570CB" w:rsidP="004570CB">
      <w:pPr>
        <w:rPr>
          <w:sz w:val="20"/>
          <w:szCs w:val="20"/>
        </w:rPr>
      </w:pPr>
      <w:r>
        <w:rPr>
          <w:rFonts w:eastAsia="Times New Roman"/>
        </w:rPr>
        <w:t>(See Ireland)</w:t>
      </w:r>
    </w:p>
    <w:p w:rsidR="004570CB" w:rsidRDefault="004570CB" w:rsidP="004570CB">
      <w:pPr>
        <w:spacing w:line="1"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239" w:lineRule="auto"/>
        <w:rPr>
          <w:sz w:val="20"/>
          <w:szCs w:val="20"/>
        </w:rPr>
      </w:pPr>
      <w:r>
        <w:rPr>
          <w:rFonts w:eastAsia="Times New Roman"/>
        </w:rPr>
        <w:t>Tlf: +45 - 36 39 99 99</w:t>
      </w:r>
    </w:p>
    <w:p w:rsidR="004570CB" w:rsidRDefault="004570CB" w:rsidP="004570CB">
      <w:pPr>
        <w:sectPr w:rsidR="004570CB">
          <w:type w:val="continuous"/>
          <w:pgSz w:w="11900" w:h="16838"/>
          <w:pgMar w:top="1355" w:right="1440" w:bottom="192" w:left="1420" w:header="0" w:footer="0" w:gutter="0"/>
          <w:cols w:space="720" w:equalWidth="0">
            <w:col w:w="9046"/>
          </w:cols>
        </w:sectPr>
      </w:pPr>
    </w:p>
    <w:p w:rsidR="004570CB" w:rsidRDefault="004570CB" w:rsidP="004570CB">
      <w:pPr>
        <w:spacing w:line="212" w:lineRule="exact"/>
        <w:rPr>
          <w:sz w:val="20"/>
          <w:szCs w:val="20"/>
        </w:rPr>
      </w:pPr>
    </w:p>
    <w:p w:rsidR="004570CB" w:rsidRDefault="004570CB" w:rsidP="004570CB">
      <w:pPr>
        <w:rPr>
          <w:sz w:val="20"/>
          <w:szCs w:val="20"/>
        </w:rPr>
      </w:pPr>
      <w:r>
        <w:rPr>
          <w:rFonts w:eastAsia="Times New Roman"/>
          <w:b/>
          <w:bCs/>
        </w:rPr>
        <w:t>Deutschland</w:t>
      </w:r>
    </w:p>
    <w:p w:rsidR="004570CB" w:rsidRDefault="004570CB" w:rsidP="004570CB">
      <w:pPr>
        <w:spacing w:line="239" w:lineRule="auto"/>
        <w:rPr>
          <w:sz w:val="20"/>
          <w:szCs w:val="20"/>
        </w:rPr>
      </w:pPr>
      <w:r>
        <w:rPr>
          <w:rFonts w:eastAsia="Times New Roman"/>
        </w:rPr>
        <w:t>Roche Pharma AG</w:t>
      </w:r>
    </w:p>
    <w:p w:rsidR="004570CB" w:rsidRDefault="004570CB" w:rsidP="004570CB">
      <w:pPr>
        <w:rPr>
          <w:sz w:val="20"/>
          <w:szCs w:val="20"/>
        </w:rPr>
      </w:pPr>
      <w:r>
        <w:rPr>
          <w:rFonts w:eastAsia="Times New Roman"/>
          <w:sz w:val="21"/>
          <w:szCs w:val="21"/>
        </w:rPr>
        <w:t>Tel: +49 (0) 7624 140</w:t>
      </w:r>
    </w:p>
    <w:p w:rsidR="004570CB" w:rsidRDefault="004570CB" w:rsidP="004570CB">
      <w:pPr>
        <w:spacing w:line="20" w:lineRule="exact"/>
        <w:rPr>
          <w:sz w:val="20"/>
          <w:szCs w:val="20"/>
        </w:rPr>
      </w:pPr>
      <w:r>
        <w:rPr>
          <w:sz w:val="20"/>
          <w:szCs w:val="20"/>
        </w:rPr>
        <w:br w:type="column"/>
      </w:r>
    </w:p>
    <w:p w:rsidR="004570CB" w:rsidRDefault="004570CB" w:rsidP="004570CB">
      <w:pPr>
        <w:spacing w:line="192" w:lineRule="exact"/>
        <w:rPr>
          <w:sz w:val="20"/>
          <w:szCs w:val="20"/>
        </w:rPr>
      </w:pPr>
    </w:p>
    <w:p w:rsidR="004570CB" w:rsidRDefault="004570CB" w:rsidP="004570CB">
      <w:pPr>
        <w:rPr>
          <w:sz w:val="20"/>
          <w:szCs w:val="20"/>
        </w:rPr>
      </w:pPr>
      <w:r>
        <w:rPr>
          <w:rFonts w:eastAsia="Times New Roman"/>
          <w:b/>
          <w:bCs/>
        </w:rPr>
        <w:t>Nederland</w:t>
      </w:r>
    </w:p>
    <w:p w:rsidR="004570CB" w:rsidRDefault="004570CB" w:rsidP="004570CB">
      <w:pPr>
        <w:spacing w:line="239" w:lineRule="auto"/>
        <w:rPr>
          <w:sz w:val="20"/>
          <w:szCs w:val="20"/>
        </w:rPr>
      </w:pPr>
      <w:r>
        <w:rPr>
          <w:rFonts w:eastAsia="Times New Roman"/>
        </w:rPr>
        <w:t>Roche Nederland B.V.</w:t>
      </w:r>
    </w:p>
    <w:p w:rsidR="004570CB" w:rsidRDefault="004570CB" w:rsidP="004570CB">
      <w:pPr>
        <w:rPr>
          <w:sz w:val="20"/>
          <w:szCs w:val="20"/>
        </w:rPr>
      </w:pPr>
      <w:r>
        <w:rPr>
          <w:rFonts w:eastAsia="Times New Roman"/>
        </w:rPr>
        <w:t>Tel: +31 (0) 348 438050</w:t>
      </w:r>
    </w:p>
    <w:p w:rsidR="004570CB" w:rsidRDefault="004570CB" w:rsidP="004570CB">
      <w:pPr>
        <w:spacing w:line="200"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53" w:lineRule="exact"/>
        <w:rPr>
          <w:sz w:val="20"/>
          <w:szCs w:val="20"/>
        </w:rPr>
      </w:pPr>
    </w:p>
    <w:p w:rsidR="004570CB" w:rsidRDefault="004570CB" w:rsidP="004570CB">
      <w:pPr>
        <w:rPr>
          <w:sz w:val="20"/>
          <w:szCs w:val="20"/>
        </w:rPr>
      </w:pPr>
      <w:r>
        <w:rPr>
          <w:rFonts w:eastAsia="Times New Roman"/>
          <w:b/>
          <w:bCs/>
        </w:rPr>
        <w:t>Eesti</w:t>
      </w:r>
    </w:p>
    <w:p w:rsidR="004570CB" w:rsidRDefault="004570CB" w:rsidP="004570CB">
      <w:pPr>
        <w:rPr>
          <w:sz w:val="20"/>
          <w:szCs w:val="20"/>
        </w:rPr>
      </w:pPr>
      <w:r>
        <w:rPr>
          <w:rFonts w:eastAsia="Times New Roman"/>
        </w:rPr>
        <w:t>Roche Eesti OÜ</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sz w:val="21"/>
          <w:szCs w:val="21"/>
        </w:rPr>
        <w:t>Tel: + 372 - 6 177 380</w:t>
      </w:r>
    </w:p>
    <w:p w:rsidR="004570CB" w:rsidRDefault="004570CB" w:rsidP="004570CB">
      <w:pPr>
        <w:spacing w:line="20" w:lineRule="exact"/>
        <w:rPr>
          <w:sz w:val="20"/>
          <w:szCs w:val="20"/>
        </w:rPr>
      </w:pPr>
      <w:r>
        <w:rPr>
          <w:sz w:val="20"/>
          <w:szCs w:val="20"/>
        </w:rPr>
        <w:br w:type="column"/>
      </w:r>
    </w:p>
    <w:p w:rsidR="004570CB" w:rsidRDefault="004570CB" w:rsidP="004570CB">
      <w:pPr>
        <w:spacing w:line="33" w:lineRule="exact"/>
        <w:rPr>
          <w:sz w:val="20"/>
          <w:szCs w:val="20"/>
        </w:rPr>
      </w:pPr>
    </w:p>
    <w:p w:rsidR="004570CB" w:rsidRDefault="004570CB" w:rsidP="004570CB">
      <w:pPr>
        <w:rPr>
          <w:sz w:val="20"/>
          <w:szCs w:val="20"/>
        </w:rPr>
      </w:pPr>
      <w:r>
        <w:rPr>
          <w:rFonts w:eastAsia="Times New Roman"/>
          <w:b/>
          <w:bCs/>
        </w:rPr>
        <w:t>Norge</w:t>
      </w:r>
    </w:p>
    <w:p w:rsidR="004570CB" w:rsidRDefault="004570CB" w:rsidP="004570CB">
      <w:pPr>
        <w:rPr>
          <w:sz w:val="20"/>
          <w:szCs w:val="20"/>
        </w:rPr>
      </w:pPr>
      <w:r>
        <w:rPr>
          <w:rFonts w:eastAsia="Times New Roman"/>
        </w:rPr>
        <w:t>Roche Norge AS</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Tlf: +47 - 22 78 90 00</w:t>
      </w:r>
    </w:p>
    <w:p w:rsidR="004570CB" w:rsidRDefault="004570CB" w:rsidP="004570CB">
      <w:pPr>
        <w:spacing w:line="200"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52" w:lineRule="exact"/>
        <w:rPr>
          <w:sz w:val="20"/>
          <w:szCs w:val="20"/>
        </w:rPr>
      </w:pPr>
    </w:p>
    <w:p w:rsidR="004570CB" w:rsidRDefault="004570CB" w:rsidP="004570CB">
      <w:pPr>
        <w:rPr>
          <w:sz w:val="20"/>
          <w:szCs w:val="20"/>
        </w:rPr>
      </w:pPr>
      <w:r>
        <w:rPr>
          <w:rFonts w:eastAsia="Times New Roman"/>
          <w:b/>
          <w:bCs/>
        </w:rPr>
        <w:t>Ελλάδα</w:t>
      </w:r>
    </w:p>
    <w:p w:rsidR="004570CB" w:rsidRDefault="004570CB" w:rsidP="004570CB">
      <w:pPr>
        <w:spacing w:line="239" w:lineRule="auto"/>
        <w:rPr>
          <w:sz w:val="20"/>
          <w:szCs w:val="20"/>
        </w:rPr>
      </w:pPr>
      <w:r>
        <w:rPr>
          <w:rFonts w:eastAsia="Times New Roman"/>
        </w:rPr>
        <w:t>Roche (Hellas) A.E.</w:t>
      </w:r>
    </w:p>
    <w:p w:rsidR="004570CB" w:rsidRDefault="004570CB" w:rsidP="004570CB">
      <w:pPr>
        <w:rPr>
          <w:sz w:val="20"/>
          <w:szCs w:val="20"/>
        </w:rPr>
      </w:pPr>
      <w:r>
        <w:rPr>
          <w:rFonts w:eastAsia="Times New Roman"/>
        </w:rPr>
        <w:t>Τηλ: +30 210 61 66 100</w:t>
      </w:r>
    </w:p>
    <w:p w:rsidR="004570CB" w:rsidRDefault="004570CB" w:rsidP="004570CB">
      <w:pPr>
        <w:spacing w:line="20" w:lineRule="exact"/>
        <w:rPr>
          <w:sz w:val="20"/>
          <w:szCs w:val="20"/>
        </w:rPr>
      </w:pPr>
      <w:r>
        <w:rPr>
          <w:sz w:val="20"/>
          <w:szCs w:val="20"/>
        </w:rPr>
        <w:br w:type="column"/>
      </w:r>
    </w:p>
    <w:p w:rsidR="004570CB" w:rsidRDefault="004570CB" w:rsidP="004570CB">
      <w:pPr>
        <w:spacing w:line="32" w:lineRule="exact"/>
        <w:rPr>
          <w:sz w:val="20"/>
          <w:szCs w:val="20"/>
        </w:rPr>
      </w:pPr>
    </w:p>
    <w:p w:rsidR="004570CB" w:rsidRDefault="004570CB" w:rsidP="004570CB">
      <w:pPr>
        <w:rPr>
          <w:sz w:val="20"/>
          <w:szCs w:val="20"/>
        </w:rPr>
      </w:pPr>
      <w:r>
        <w:rPr>
          <w:rFonts w:eastAsia="Times New Roman"/>
          <w:b/>
          <w:bCs/>
        </w:rPr>
        <w:t>Österreich</w:t>
      </w:r>
    </w:p>
    <w:p w:rsidR="004570CB" w:rsidRDefault="004570CB" w:rsidP="004570CB">
      <w:pPr>
        <w:spacing w:line="239" w:lineRule="auto"/>
        <w:rPr>
          <w:sz w:val="20"/>
          <w:szCs w:val="20"/>
        </w:rPr>
      </w:pPr>
      <w:r>
        <w:rPr>
          <w:rFonts w:eastAsia="Times New Roman"/>
        </w:rPr>
        <w:t>Roche Austria GmbH</w:t>
      </w:r>
    </w:p>
    <w:p w:rsidR="004570CB" w:rsidRDefault="004570CB" w:rsidP="004570CB">
      <w:pPr>
        <w:rPr>
          <w:sz w:val="20"/>
          <w:szCs w:val="20"/>
        </w:rPr>
      </w:pPr>
      <w:r>
        <w:rPr>
          <w:rFonts w:eastAsia="Times New Roman"/>
        </w:rPr>
        <w:t>Tel: +43 (0) 1 27739</w:t>
      </w:r>
    </w:p>
    <w:p w:rsidR="004570CB" w:rsidRDefault="004570CB" w:rsidP="004570CB">
      <w:pPr>
        <w:spacing w:line="200"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53" w:lineRule="exact"/>
        <w:rPr>
          <w:sz w:val="20"/>
          <w:szCs w:val="20"/>
        </w:rPr>
      </w:pPr>
    </w:p>
    <w:p w:rsidR="004570CB" w:rsidRDefault="004570CB" w:rsidP="004570CB">
      <w:pPr>
        <w:rPr>
          <w:sz w:val="20"/>
          <w:szCs w:val="20"/>
        </w:rPr>
      </w:pPr>
      <w:r>
        <w:rPr>
          <w:rFonts w:eastAsia="Times New Roman"/>
          <w:b/>
          <w:bCs/>
        </w:rPr>
        <w:t>España</w:t>
      </w:r>
    </w:p>
    <w:p w:rsidR="004570CB" w:rsidRDefault="004570CB" w:rsidP="004570CB">
      <w:pPr>
        <w:rPr>
          <w:sz w:val="20"/>
          <w:szCs w:val="20"/>
        </w:rPr>
      </w:pPr>
      <w:r>
        <w:rPr>
          <w:rFonts w:eastAsia="Times New Roman"/>
        </w:rPr>
        <w:t>Roche Farma S.A.</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Tel: +34 - 91 324 81 00</w:t>
      </w:r>
    </w:p>
    <w:p w:rsidR="004570CB" w:rsidRDefault="004570CB" w:rsidP="004570CB">
      <w:pPr>
        <w:spacing w:line="20" w:lineRule="exact"/>
        <w:rPr>
          <w:sz w:val="20"/>
          <w:szCs w:val="20"/>
        </w:rPr>
      </w:pPr>
      <w:r>
        <w:rPr>
          <w:sz w:val="20"/>
          <w:szCs w:val="20"/>
        </w:rPr>
        <w:br w:type="column"/>
      </w:r>
    </w:p>
    <w:p w:rsidR="004570CB" w:rsidRDefault="004570CB" w:rsidP="004570CB">
      <w:pPr>
        <w:spacing w:line="33" w:lineRule="exact"/>
        <w:rPr>
          <w:sz w:val="20"/>
          <w:szCs w:val="20"/>
        </w:rPr>
      </w:pPr>
    </w:p>
    <w:p w:rsidR="004570CB" w:rsidRDefault="004570CB" w:rsidP="004570CB">
      <w:pPr>
        <w:rPr>
          <w:sz w:val="20"/>
          <w:szCs w:val="20"/>
        </w:rPr>
      </w:pPr>
      <w:r>
        <w:rPr>
          <w:rFonts w:eastAsia="Times New Roman"/>
          <w:b/>
          <w:bCs/>
        </w:rPr>
        <w:t>Polska</w:t>
      </w:r>
    </w:p>
    <w:p w:rsidR="004570CB" w:rsidRDefault="004570CB" w:rsidP="004570CB">
      <w:pPr>
        <w:rPr>
          <w:sz w:val="20"/>
          <w:szCs w:val="20"/>
        </w:rPr>
      </w:pPr>
      <w:r>
        <w:rPr>
          <w:rFonts w:eastAsia="Times New Roman"/>
        </w:rPr>
        <w:t>Roche Polska Sp.z o.o.</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Tel: +48 - 22 345 18 88</w:t>
      </w:r>
    </w:p>
    <w:p w:rsidR="004570CB" w:rsidRDefault="004570CB" w:rsidP="004570CB">
      <w:pPr>
        <w:spacing w:line="200"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52" w:lineRule="exact"/>
        <w:rPr>
          <w:sz w:val="20"/>
          <w:szCs w:val="20"/>
        </w:rPr>
      </w:pPr>
    </w:p>
    <w:p w:rsidR="004570CB" w:rsidRDefault="004570CB" w:rsidP="004570CB">
      <w:pPr>
        <w:rPr>
          <w:sz w:val="20"/>
          <w:szCs w:val="20"/>
        </w:rPr>
      </w:pPr>
      <w:r>
        <w:rPr>
          <w:rFonts w:eastAsia="Times New Roman"/>
          <w:b/>
          <w:bCs/>
        </w:rPr>
        <w:t>France</w:t>
      </w:r>
    </w:p>
    <w:p w:rsidR="004570CB" w:rsidRDefault="004570CB" w:rsidP="004570CB">
      <w:pPr>
        <w:rPr>
          <w:sz w:val="20"/>
          <w:szCs w:val="20"/>
        </w:rPr>
      </w:pPr>
      <w:r>
        <w:rPr>
          <w:rFonts w:eastAsia="Times New Roman"/>
        </w:rPr>
        <w:t>Roche</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Tél: +33 (0) 1 47 61 40 00</w:t>
      </w:r>
    </w:p>
    <w:p w:rsidR="004570CB" w:rsidRDefault="004570CB" w:rsidP="004570CB">
      <w:pPr>
        <w:spacing w:line="20" w:lineRule="exact"/>
        <w:rPr>
          <w:sz w:val="20"/>
          <w:szCs w:val="20"/>
        </w:rPr>
      </w:pPr>
      <w:r>
        <w:rPr>
          <w:sz w:val="20"/>
          <w:szCs w:val="20"/>
        </w:rPr>
        <w:br w:type="column"/>
      </w:r>
    </w:p>
    <w:p w:rsidR="004570CB" w:rsidRDefault="004570CB" w:rsidP="004570CB">
      <w:pPr>
        <w:spacing w:line="32" w:lineRule="exact"/>
        <w:rPr>
          <w:sz w:val="20"/>
          <w:szCs w:val="20"/>
        </w:rPr>
      </w:pPr>
    </w:p>
    <w:p w:rsidR="004570CB" w:rsidRDefault="004570CB" w:rsidP="004570CB">
      <w:pPr>
        <w:rPr>
          <w:sz w:val="20"/>
          <w:szCs w:val="20"/>
        </w:rPr>
      </w:pPr>
      <w:r>
        <w:rPr>
          <w:rFonts w:eastAsia="Times New Roman"/>
          <w:b/>
          <w:bCs/>
        </w:rPr>
        <w:t>Portugal</w:t>
      </w:r>
    </w:p>
    <w:p w:rsidR="004570CB" w:rsidRDefault="004570CB" w:rsidP="004570CB">
      <w:pPr>
        <w:rPr>
          <w:sz w:val="20"/>
          <w:szCs w:val="20"/>
        </w:rPr>
      </w:pPr>
      <w:r>
        <w:rPr>
          <w:rFonts w:eastAsia="Times New Roman"/>
        </w:rPr>
        <w:t>Roche Farmacêutica Química, Lda</w:t>
      </w:r>
    </w:p>
    <w:p w:rsidR="004570CB" w:rsidRDefault="004570CB" w:rsidP="004570CB">
      <w:pPr>
        <w:spacing w:line="1" w:lineRule="exact"/>
        <w:rPr>
          <w:sz w:val="20"/>
          <w:szCs w:val="20"/>
        </w:rPr>
      </w:pPr>
    </w:p>
    <w:p w:rsidR="004570CB" w:rsidRDefault="004570CB" w:rsidP="004570CB">
      <w:pPr>
        <w:rPr>
          <w:sz w:val="20"/>
          <w:szCs w:val="20"/>
        </w:rPr>
      </w:pPr>
      <w:r>
        <w:rPr>
          <w:rFonts w:eastAsia="Times New Roman"/>
        </w:rPr>
        <w:t>Tel: +351 - 21 425 70 00</w:t>
      </w:r>
    </w:p>
    <w:p w:rsidR="004570CB" w:rsidRDefault="004570CB" w:rsidP="004570CB">
      <w:pPr>
        <w:spacing w:line="200" w:lineRule="exact"/>
        <w:rPr>
          <w:sz w:val="20"/>
          <w:szCs w:val="20"/>
        </w:rPr>
      </w:pPr>
    </w:p>
    <w:p w:rsidR="004570CB" w:rsidRDefault="004570CB" w:rsidP="004570CB">
      <w:pPr>
        <w:sectPr w:rsidR="004570CB">
          <w:type w:val="continuous"/>
          <w:pgSz w:w="11900" w:h="16838"/>
          <w:pgMar w:top="1355" w:right="1440" w:bottom="192" w:left="1420" w:header="0" w:footer="0" w:gutter="0"/>
          <w:cols w:num="2" w:space="720" w:equalWidth="0">
            <w:col w:w="3860" w:space="720"/>
            <w:col w:w="4466"/>
          </w:cols>
        </w:sectPr>
      </w:pPr>
    </w:p>
    <w:p w:rsidR="004570CB" w:rsidRDefault="004570CB" w:rsidP="004570CB">
      <w:pPr>
        <w:spacing w:line="200" w:lineRule="exact"/>
        <w:rPr>
          <w:sz w:val="20"/>
          <w:szCs w:val="20"/>
        </w:rPr>
      </w:pPr>
    </w:p>
    <w:p w:rsidR="004570CB" w:rsidRDefault="004570CB" w:rsidP="004570CB">
      <w:pPr>
        <w:spacing w:line="200" w:lineRule="exact"/>
        <w:rPr>
          <w:sz w:val="20"/>
          <w:szCs w:val="20"/>
        </w:rPr>
      </w:pPr>
    </w:p>
    <w:p w:rsidR="004570CB" w:rsidRDefault="004570CB" w:rsidP="004570CB">
      <w:pPr>
        <w:spacing w:line="280" w:lineRule="exact"/>
        <w:rPr>
          <w:sz w:val="20"/>
          <w:szCs w:val="20"/>
        </w:rPr>
      </w:pPr>
    </w:p>
    <w:p w:rsidR="004570CB" w:rsidRDefault="004570CB" w:rsidP="004570CB">
      <w:pPr>
        <w:ind w:right="346"/>
        <w:jc w:val="center"/>
        <w:rPr>
          <w:sz w:val="20"/>
          <w:szCs w:val="20"/>
        </w:rPr>
      </w:pPr>
      <w:r>
        <w:rPr>
          <w:rFonts w:ascii="Arial" w:eastAsia="Arial" w:hAnsi="Arial" w:cs="Arial"/>
          <w:sz w:val="16"/>
          <w:szCs w:val="16"/>
        </w:rPr>
        <w:t>79</w:t>
      </w:r>
    </w:p>
    <w:p w:rsidR="004570CB" w:rsidRDefault="004570CB" w:rsidP="004570CB">
      <w:pPr>
        <w:sectPr w:rsidR="004570CB">
          <w:type w:val="continuous"/>
          <w:pgSz w:w="11900" w:h="16838"/>
          <w:pgMar w:top="1355" w:right="1440" w:bottom="192" w:left="1420" w:header="0" w:footer="0" w:gutter="0"/>
          <w:cols w:space="720" w:equalWidth="0">
            <w:col w:w="9046"/>
          </w:cols>
        </w:sectPr>
      </w:pPr>
    </w:p>
    <w:p w:rsidR="004570CB" w:rsidRDefault="004570CB" w:rsidP="004570CB">
      <w:pPr>
        <w:tabs>
          <w:tab w:val="left" w:pos="4560"/>
        </w:tabs>
        <w:rPr>
          <w:sz w:val="20"/>
          <w:szCs w:val="20"/>
        </w:rPr>
      </w:pPr>
      <w:bookmarkStart w:id="8" w:name="page80"/>
      <w:bookmarkEnd w:id="8"/>
      <w:r>
        <w:rPr>
          <w:rFonts w:eastAsia="Times New Roman"/>
          <w:b/>
          <w:bCs/>
        </w:rPr>
        <w:t>Hrvatska</w:t>
      </w:r>
      <w:r>
        <w:rPr>
          <w:sz w:val="20"/>
          <w:szCs w:val="20"/>
        </w:rPr>
        <w:tab/>
      </w:r>
      <w:r>
        <w:rPr>
          <w:rFonts w:eastAsia="Times New Roman"/>
          <w:b/>
          <w:bCs/>
        </w:rPr>
        <w:t>România</w:t>
      </w:r>
    </w:p>
    <w:p w:rsidR="004570CB" w:rsidRDefault="004570CB" w:rsidP="004570CB">
      <w:pPr>
        <w:tabs>
          <w:tab w:val="left" w:pos="4560"/>
        </w:tabs>
        <w:spacing w:line="235" w:lineRule="auto"/>
        <w:rPr>
          <w:sz w:val="20"/>
          <w:szCs w:val="20"/>
        </w:rPr>
      </w:pPr>
      <w:r>
        <w:rPr>
          <w:rFonts w:eastAsia="Times New Roman"/>
        </w:rPr>
        <w:t>Roche d.o.o.</w:t>
      </w:r>
      <w:r>
        <w:rPr>
          <w:sz w:val="20"/>
          <w:szCs w:val="20"/>
        </w:rPr>
        <w:tab/>
      </w:r>
      <w:r>
        <w:rPr>
          <w:rFonts w:eastAsia="Times New Roman"/>
        </w:rPr>
        <w:t>Roche România S.R.L.</w:t>
      </w:r>
    </w:p>
    <w:p w:rsidR="004570CB" w:rsidRDefault="004570CB" w:rsidP="004570CB">
      <w:pPr>
        <w:tabs>
          <w:tab w:val="left" w:pos="4560"/>
        </w:tabs>
        <w:rPr>
          <w:sz w:val="20"/>
          <w:szCs w:val="20"/>
        </w:rPr>
      </w:pPr>
      <w:r>
        <w:rPr>
          <w:rFonts w:eastAsia="Times New Roman"/>
        </w:rPr>
        <w:t>Tel: + 385 1 47 22 333</w:t>
      </w:r>
      <w:r>
        <w:rPr>
          <w:sz w:val="20"/>
          <w:szCs w:val="20"/>
        </w:rPr>
        <w:tab/>
      </w:r>
      <w:r>
        <w:rPr>
          <w:rFonts w:eastAsia="Times New Roman"/>
        </w:rPr>
        <w:t>Tel: +40 21 206 47 01</w:t>
      </w:r>
    </w:p>
    <w:p w:rsidR="004570CB" w:rsidRDefault="004570CB" w:rsidP="004570CB">
      <w:pPr>
        <w:spacing w:line="200" w:lineRule="exact"/>
        <w:rPr>
          <w:sz w:val="20"/>
          <w:szCs w:val="20"/>
        </w:rPr>
      </w:pPr>
    </w:p>
    <w:p w:rsidR="004570CB" w:rsidRDefault="004570CB" w:rsidP="004570CB">
      <w:pPr>
        <w:spacing w:line="321" w:lineRule="exact"/>
        <w:rPr>
          <w:sz w:val="20"/>
          <w:szCs w:val="20"/>
        </w:rPr>
      </w:pPr>
    </w:p>
    <w:p w:rsidR="004570CB" w:rsidRDefault="004570CB" w:rsidP="004570CB">
      <w:pPr>
        <w:tabs>
          <w:tab w:val="left" w:pos="4560"/>
        </w:tabs>
        <w:rPr>
          <w:sz w:val="20"/>
          <w:szCs w:val="20"/>
        </w:rPr>
      </w:pPr>
      <w:r>
        <w:rPr>
          <w:rFonts w:eastAsia="Times New Roman"/>
          <w:b/>
          <w:bCs/>
        </w:rPr>
        <w:t>Ireland</w:t>
      </w:r>
      <w:r>
        <w:rPr>
          <w:sz w:val="20"/>
          <w:szCs w:val="20"/>
        </w:rPr>
        <w:tab/>
      </w:r>
      <w:r>
        <w:rPr>
          <w:rFonts w:eastAsia="Times New Roman"/>
          <w:b/>
          <w:bCs/>
        </w:rPr>
        <w:t>Slovenija</w:t>
      </w:r>
    </w:p>
    <w:p w:rsidR="004570CB" w:rsidRDefault="004570CB" w:rsidP="004570CB">
      <w:pPr>
        <w:tabs>
          <w:tab w:val="left" w:pos="4560"/>
        </w:tabs>
        <w:rPr>
          <w:sz w:val="20"/>
          <w:szCs w:val="20"/>
        </w:rPr>
      </w:pPr>
      <w:r>
        <w:rPr>
          <w:rFonts w:eastAsia="Times New Roman"/>
        </w:rPr>
        <w:t>Roche Products (Ireland) Ltd.</w:t>
      </w:r>
      <w:r>
        <w:rPr>
          <w:sz w:val="20"/>
          <w:szCs w:val="20"/>
        </w:rPr>
        <w:tab/>
      </w:r>
      <w:r>
        <w:rPr>
          <w:rFonts w:eastAsia="Times New Roman"/>
        </w:rPr>
        <w:t>Roche farmacevtska družba d.o.o.</w:t>
      </w:r>
    </w:p>
    <w:p w:rsidR="004570CB" w:rsidRDefault="004570CB" w:rsidP="004570CB">
      <w:pPr>
        <w:tabs>
          <w:tab w:val="left" w:pos="4560"/>
        </w:tabs>
        <w:rPr>
          <w:sz w:val="20"/>
          <w:szCs w:val="20"/>
        </w:rPr>
      </w:pPr>
      <w:r>
        <w:rPr>
          <w:rFonts w:eastAsia="Times New Roman"/>
        </w:rPr>
        <w:t>Tel: +353 (0) 1 469 0700</w:t>
      </w:r>
      <w:r>
        <w:rPr>
          <w:sz w:val="20"/>
          <w:szCs w:val="20"/>
        </w:rPr>
        <w:tab/>
      </w:r>
      <w:r>
        <w:rPr>
          <w:rFonts w:eastAsia="Times New Roman"/>
        </w:rPr>
        <w:t>Tel: +386 - 1 360 26 00</w:t>
      </w:r>
    </w:p>
    <w:p w:rsidR="004570CB" w:rsidRDefault="004570CB" w:rsidP="004570CB">
      <w:pPr>
        <w:spacing w:line="253" w:lineRule="exact"/>
        <w:rPr>
          <w:sz w:val="20"/>
          <w:szCs w:val="20"/>
        </w:rPr>
      </w:pPr>
    </w:p>
    <w:p w:rsidR="004570CB" w:rsidRDefault="004570CB" w:rsidP="004570CB">
      <w:pPr>
        <w:tabs>
          <w:tab w:val="left" w:pos="4560"/>
        </w:tabs>
        <w:rPr>
          <w:sz w:val="20"/>
          <w:szCs w:val="20"/>
        </w:rPr>
      </w:pPr>
      <w:r>
        <w:rPr>
          <w:rFonts w:eastAsia="Times New Roman"/>
          <w:b/>
          <w:bCs/>
        </w:rPr>
        <w:t>Ísland</w:t>
      </w:r>
      <w:r>
        <w:rPr>
          <w:sz w:val="20"/>
          <w:szCs w:val="20"/>
        </w:rPr>
        <w:tab/>
      </w:r>
      <w:r>
        <w:rPr>
          <w:rFonts w:eastAsia="Times New Roman"/>
          <w:b/>
          <w:bCs/>
        </w:rPr>
        <w:t>Slovenská republika</w:t>
      </w:r>
    </w:p>
    <w:p w:rsidR="004570CB" w:rsidRDefault="004570CB" w:rsidP="004570CB">
      <w:pPr>
        <w:tabs>
          <w:tab w:val="left" w:pos="4560"/>
        </w:tabs>
        <w:rPr>
          <w:sz w:val="20"/>
          <w:szCs w:val="20"/>
        </w:rPr>
      </w:pPr>
      <w:r>
        <w:rPr>
          <w:rFonts w:eastAsia="Times New Roman"/>
        </w:rPr>
        <w:t>Roche a/s</w:t>
      </w:r>
      <w:r>
        <w:rPr>
          <w:sz w:val="20"/>
          <w:szCs w:val="20"/>
        </w:rPr>
        <w:tab/>
      </w:r>
      <w:r>
        <w:rPr>
          <w:rFonts w:eastAsia="Times New Roman"/>
        </w:rPr>
        <w:t>Roche Slovensko, s.r.o.</w:t>
      </w:r>
    </w:p>
    <w:p w:rsidR="004570CB" w:rsidRDefault="004570CB" w:rsidP="004570CB">
      <w:pPr>
        <w:tabs>
          <w:tab w:val="left" w:pos="4560"/>
        </w:tabs>
        <w:rPr>
          <w:sz w:val="20"/>
          <w:szCs w:val="20"/>
        </w:rPr>
      </w:pPr>
      <w:r>
        <w:rPr>
          <w:rFonts w:eastAsia="Times New Roman"/>
        </w:rPr>
        <w:t>c/o Icepharma hf</w:t>
      </w:r>
      <w:r>
        <w:rPr>
          <w:sz w:val="20"/>
          <w:szCs w:val="20"/>
        </w:rPr>
        <w:tab/>
      </w:r>
      <w:r>
        <w:rPr>
          <w:rFonts w:eastAsia="Times New Roman"/>
        </w:rPr>
        <w:t>Tel: +421 - 2 52638201</w:t>
      </w:r>
    </w:p>
    <w:p w:rsidR="004570CB" w:rsidRDefault="004570CB" w:rsidP="004570CB">
      <w:pPr>
        <w:rPr>
          <w:sz w:val="20"/>
          <w:szCs w:val="20"/>
        </w:rPr>
      </w:pPr>
      <w:r>
        <w:rPr>
          <w:rFonts w:eastAsia="Times New Roman"/>
        </w:rPr>
        <w:t>Sími: +354 540 8000</w:t>
      </w:r>
    </w:p>
    <w:p w:rsidR="004570CB" w:rsidRDefault="004570CB" w:rsidP="004570CB">
      <w:pPr>
        <w:spacing w:line="253" w:lineRule="exact"/>
        <w:rPr>
          <w:sz w:val="20"/>
          <w:szCs w:val="20"/>
        </w:rPr>
      </w:pPr>
    </w:p>
    <w:p w:rsidR="004570CB" w:rsidRDefault="004570CB" w:rsidP="004570CB">
      <w:pPr>
        <w:tabs>
          <w:tab w:val="left" w:pos="4560"/>
        </w:tabs>
        <w:rPr>
          <w:sz w:val="20"/>
          <w:szCs w:val="20"/>
        </w:rPr>
      </w:pPr>
      <w:r>
        <w:rPr>
          <w:rFonts w:eastAsia="Times New Roman"/>
          <w:b/>
          <w:bCs/>
        </w:rPr>
        <w:t>Italia</w:t>
      </w:r>
      <w:r>
        <w:rPr>
          <w:sz w:val="20"/>
          <w:szCs w:val="20"/>
        </w:rPr>
        <w:tab/>
      </w:r>
      <w:r>
        <w:rPr>
          <w:rFonts w:eastAsia="Times New Roman"/>
          <w:b/>
          <w:bCs/>
        </w:rPr>
        <w:t>Suomi/Finland</w:t>
      </w:r>
    </w:p>
    <w:p w:rsidR="004570CB" w:rsidRDefault="004570CB" w:rsidP="004570CB">
      <w:pPr>
        <w:tabs>
          <w:tab w:val="left" w:pos="4560"/>
        </w:tabs>
        <w:rPr>
          <w:sz w:val="20"/>
          <w:szCs w:val="20"/>
        </w:rPr>
      </w:pPr>
      <w:r>
        <w:rPr>
          <w:rFonts w:eastAsia="Times New Roman"/>
        </w:rPr>
        <w:t>Roche S.p.A.</w:t>
      </w:r>
      <w:r>
        <w:rPr>
          <w:sz w:val="20"/>
          <w:szCs w:val="20"/>
        </w:rPr>
        <w:tab/>
      </w:r>
      <w:r>
        <w:rPr>
          <w:rFonts w:eastAsia="Times New Roman"/>
        </w:rPr>
        <w:t>Roche Oy</w:t>
      </w:r>
    </w:p>
    <w:p w:rsidR="004570CB" w:rsidRDefault="004570CB" w:rsidP="004570CB">
      <w:pPr>
        <w:spacing w:line="1" w:lineRule="exact"/>
        <w:rPr>
          <w:sz w:val="20"/>
          <w:szCs w:val="20"/>
        </w:rPr>
      </w:pPr>
    </w:p>
    <w:p w:rsidR="004570CB" w:rsidRDefault="004570CB" w:rsidP="004570CB">
      <w:pPr>
        <w:tabs>
          <w:tab w:val="left" w:pos="4560"/>
        </w:tabs>
        <w:rPr>
          <w:sz w:val="20"/>
          <w:szCs w:val="20"/>
        </w:rPr>
      </w:pPr>
      <w:r>
        <w:rPr>
          <w:rFonts w:eastAsia="Times New Roman"/>
        </w:rPr>
        <w:t>Tel: +39 - 039 2471</w:t>
      </w:r>
      <w:r>
        <w:rPr>
          <w:sz w:val="20"/>
          <w:szCs w:val="20"/>
        </w:rPr>
        <w:tab/>
      </w:r>
      <w:r>
        <w:rPr>
          <w:rFonts w:eastAsia="Times New Roman"/>
        </w:rPr>
        <w:t>Puh/Tel: +358 (0) 10 554 500</w:t>
      </w:r>
    </w:p>
    <w:p w:rsidR="004570CB" w:rsidRDefault="004570CB" w:rsidP="004570CB">
      <w:pPr>
        <w:spacing w:line="252" w:lineRule="exact"/>
        <w:rPr>
          <w:sz w:val="20"/>
          <w:szCs w:val="20"/>
        </w:rPr>
      </w:pPr>
    </w:p>
    <w:p w:rsidR="004570CB" w:rsidRDefault="004570CB" w:rsidP="004570CB">
      <w:pPr>
        <w:tabs>
          <w:tab w:val="left" w:pos="4560"/>
        </w:tabs>
        <w:rPr>
          <w:sz w:val="20"/>
          <w:szCs w:val="20"/>
        </w:rPr>
      </w:pPr>
      <w:r>
        <w:rPr>
          <w:rFonts w:eastAsia="Times New Roman"/>
          <w:b/>
          <w:bCs/>
        </w:rPr>
        <w:t>Kύπρος</w:t>
      </w:r>
      <w:r>
        <w:rPr>
          <w:sz w:val="20"/>
          <w:szCs w:val="20"/>
        </w:rPr>
        <w:tab/>
      </w:r>
      <w:r>
        <w:rPr>
          <w:rFonts w:eastAsia="Times New Roman"/>
          <w:b/>
          <w:bCs/>
        </w:rPr>
        <w:t>Sverige</w:t>
      </w:r>
    </w:p>
    <w:p w:rsidR="004570CB" w:rsidRDefault="004570CB" w:rsidP="004570CB">
      <w:pPr>
        <w:tabs>
          <w:tab w:val="left" w:pos="4560"/>
        </w:tabs>
        <w:rPr>
          <w:sz w:val="20"/>
          <w:szCs w:val="20"/>
        </w:rPr>
      </w:pPr>
      <w:r>
        <w:rPr>
          <w:rFonts w:eastAsia="Times New Roman"/>
        </w:rPr>
        <w:t>Γ.Α.Σταμάτης &amp; Σια Λτδ.</w:t>
      </w:r>
      <w:r>
        <w:rPr>
          <w:sz w:val="20"/>
          <w:szCs w:val="20"/>
        </w:rPr>
        <w:tab/>
      </w:r>
      <w:r>
        <w:rPr>
          <w:rFonts w:eastAsia="Times New Roman"/>
        </w:rPr>
        <w:t>Roche AB</w:t>
      </w:r>
    </w:p>
    <w:p w:rsidR="004570CB" w:rsidRDefault="004570CB" w:rsidP="004570CB">
      <w:pPr>
        <w:spacing w:line="1" w:lineRule="exact"/>
        <w:rPr>
          <w:sz w:val="20"/>
          <w:szCs w:val="20"/>
        </w:rPr>
      </w:pPr>
    </w:p>
    <w:p w:rsidR="004570CB" w:rsidRDefault="004570CB" w:rsidP="004570CB">
      <w:pPr>
        <w:tabs>
          <w:tab w:val="left" w:pos="4560"/>
        </w:tabs>
        <w:rPr>
          <w:sz w:val="20"/>
          <w:szCs w:val="20"/>
        </w:rPr>
      </w:pPr>
      <w:r>
        <w:rPr>
          <w:rFonts w:eastAsia="Times New Roman"/>
        </w:rPr>
        <w:t>Τηλ: +357 - 22 76 62 76</w:t>
      </w:r>
      <w:r>
        <w:rPr>
          <w:sz w:val="20"/>
          <w:szCs w:val="20"/>
        </w:rPr>
        <w:tab/>
      </w:r>
      <w:r>
        <w:rPr>
          <w:rFonts w:eastAsia="Times New Roman"/>
        </w:rPr>
        <w:t>Tel: +46 (0) 8 726 1200</w:t>
      </w:r>
    </w:p>
    <w:p w:rsidR="004570CB" w:rsidRDefault="004570CB" w:rsidP="004570CB">
      <w:pPr>
        <w:spacing w:line="252" w:lineRule="exact"/>
        <w:rPr>
          <w:sz w:val="20"/>
          <w:szCs w:val="20"/>
        </w:rPr>
      </w:pPr>
    </w:p>
    <w:p w:rsidR="004570CB" w:rsidRDefault="004570CB" w:rsidP="004570CB">
      <w:pPr>
        <w:tabs>
          <w:tab w:val="left" w:pos="4560"/>
        </w:tabs>
        <w:rPr>
          <w:sz w:val="20"/>
          <w:szCs w:val="20"/>
        </w:rPr>
      </w:pPr>
      <w:r>
        <w:rPr>
          <w:rFonts w:eastAsia="Times New Roman"/>
          <w:b/>
          <w:bCs/>
        </w:rPr>
        <w:t>Latvija</w:t>
      </w:r>
      <w:r>
        <w:rPr>
          <w:sz w:val="20"/>
          <w:szCs w:val="20"/>
        </w:rPr>
        <w:tab/>
      </w:r>
      <w:r>
        <w:rPr>
          <w:rFonts w:eastAsia="Times New Roman"/>
          <w:b/>
          <w:bCs/>
        </w:rPr>
        <w:t>United Kingdom (Northern Ireland)</w:t>
      </w:r>
    </w:p>
    <w:p w:rsidR="004570CB" w:rsidRDefault="004570CB" w:rsidP="004570CB">
      <w:pPr>
        <w:tabs>
          <w:tab w:val="left" w:pos="4560"/>
        </w:tabs>
        <w:spacing w:line="239" w:lineRule="auto"/>
        <w:rPr>
          <w:sz w:val="20"/>
          <w:szCs w:val="20"/>
        </w:rPr>
      </w:pPr>
      <w:r>
        <w:rPr>
          <w:rFonts w:eastAsia="Times New Roman"/>
        </w:rPr>
        <w:t>Roche Latvija SIA</w:t>
      </w:r>
      <w:r>
        <w:rPr>
          <w:sz w:val="20"/>
          <w:szCs w:val="20"/>
        </w:rPr>
        <w:tab/>
      </w:r>
      <w:r>
        <w:rPr>
          <w:rFonts w:eastAsia="Times New Roman"/>
        </w:rPr>
        <w:t>Roche Products (Ireland) Ltd.</w:t>
      </w:r>
    </w:p>
    <w:p w:rsidR="004570CB" w:rsidRDefault="004570CB" w:rsidP="004570CB">
      <w:pPr>
        <w:tabs>
          <w:tab w:val="left" w:pos="4560"/>
        </w:tabs>
        <w:rPr>
          <w:sz w:val="20"/>
          <w:szCs w:val="20"/>
        </w:rPr>
      </w:pPr>
      <w:r>
        <w:rPr>
          <w:rFonts w:eastAsia="Times New Roman"/>
        </w:rPr>
        <w:t>Tel: +371 – 6 7039831</w:t>
      </w:r>
      <w:r>
        <w:rPr>
          <w:sz w:val="20"/>
          <w:szCs w:val="20"/>
        </w:rPr>
        <w:tab/>
      </w:r>
      <w:r>
        <w:rPr>
          <w:rFonts w:eastAsia="Times New Roman"/>
        </w:rPr>
        <w:t>Tel: +44 (0) 1707 366000</w:t>
      </w:r>
    </w:p>
    <w:p w:rsidR="004570CB" w:rsidRDefault="004570CB" w:rsidP="004570CB">
      <w:pPr>
        <w:spacing w:line="200" w:lineRule="exact"/>
        <w:rPr>
          <w:sz w:val="20"/>
          <w:szCs w:val="20"/>
        </w:rPr>
      </w:pPr>
    </w:p>
    <w:p w:rsidR="004570CB" w:rsidRDefault="004570CB" w:rsidP="004570CB">
      <w:pPr>
        <w:spacing w:line="307" w:lineRule="exact"/>
        <w:rPr>
          <w:sz w:val="20"/>
          <w:szCs w:val="20"/>
        </w:rPr>
      </w:pPr>
    </w:p>
    <w:p w:rsidR="004570CB" w:rsidRDefault="004570CB" w:rsidP="004570CB">
      <w:pPr>
        <w:rPr>
          <w:sz w:val="20"/>
          <w:szCs w:val="20"/>
        </w:rPr>
      </w:pPr>
      <w:r>
        <w:rPr>
          <w:rFonts w:eastAsia="Times New Roman"/>
          <w:b/>
          <w:bCs/>
        </w:rPr>
        <w:t>Šis pakuotės lapelis paskutinį kartą peržiūrėtas</w:t>
      </w:r>
    </w:p>
    <w:p w:rsidR="004570CB" w:rsidRDefault="004570CB" w:rsidP="004570CB">
      <w:pPr>
        <w:spacing w:line="253" w:lineRule="exact"/>
        <w:rPr>
          <w:sz w:val="20"/>
          <w:szCs w:val="20"/>
        </w:rPr>
      </w:pPr>
    </w:p>
    <w:p w:rsidR="004570CB" w:rsidRDefault="004570CB" w:rsidP="004570CB">
      <w:pPr>
        <w:rPr>
          <w:sz w:val="20"/>
          <w:szCs w:val="20"/>
        </w:rPr>
      </w:pPr>
      <w:r>
        <w:rPr>
          <w:rFonts w:eastAsia="Times New Roman"/>
          <w:b/>
          <w:bCs/>
        </w:rPr>
        <w:t>Kiti informacijos šaltiniai</w:t>
      </w:r>
    </w:p>
    <w:p w:rsidR="004570CB" w:rsidRDefault="004570CB" w:rsidP="004570CB">
      <w:pPr>
        <w:spacing w:line="252" w:lineRule="exact"/>
        <w:rPr>
          <w:sz w:val="20"/>
          <w:szCs w:val="20"/>
        </w:rPr>
      </w:pPr>
    </w:p>
    <w:p w:rsidR="004570CB" w:rsidRDefault="004570CB" w:rsidP="004570CB">
      <w:pPr>
        <w:spacing w:line="279" w:lineRule="auto"/>
        <w:ind w:right="1826"/>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r>
          <w:rPr>
            <w:rFonts w:eastAsia="Times New Roman"/>
            <w:color w:val="000000"/>
          </w:rPr>
          <w:t>.</w:t>
        </w:r>
      </w:hyperlink>
    </w:p>
    <w:p w:rsidR="0007763D" w:rsidRDefault="0007763D"/>
    <w:sectPr w:rsidR="0007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42"/>
    <w:multiLevelType w:val="hybridMultilevel"/>
    <w:tmpl w:val="128E1A8E"/>
    <w:lvl w:ilvl="0" w:tplc="0382F94A">
      <w:start w:val="1"/>
      <w:numFmt w:val="bullet"/>
      <w:lvlText w:val="•"/>
      <w:lvlJc w:val="left"/>
    </w:lvl>
    <w:lvl w:ilvl="1" w:tplc="117C1F6A">
      <w:numFmt w:val="decimal"/>
      <w:lvlText w:val=""/>
      <w:lvlJc w:val="left"/>
    </w:lvl>
    <w:lvl w:ilvl="2" w:tplc="6C349438">
      <w:numFmt w:val="decimal"/>
      <w:lvlText w:val=""/>
      <w:lvlJc w:val="left"/>
    </w:lvl>
    <w:lvl w:ilvl="3" w:tplc="AC0AAEBE">
      <w:numFmt w:val="decimal"/>
      <w:lvlText w:val=""/>
      <w:lvlJc w:val="left"/>
    </w:lvl>
    <w:lvl w:ilvl="4" w:tplc="4BF0B140">
      <w:numFmt w:val="decimal"/>
      <w:lvlText w:val=""/>
      <w:lvlJc w:val="left"/>
    </w:lvl>
    <w:lvl w:ilvl="5" w:tplc="5AA60638">
      <w:numFmt w:val="decimal"/>
      <w:lvlText w:val=""/>
      <w:lvlJc w:val="left"/>
    </w:lvl>
    <w:lvl w:ilvl="6" w:tplc="0DF01DE0">
      <w:numFmt w:val="decimal"/>
      <w:lvlText w:val=""/>
      <w:lvlJc w:val="left"/>
    </w:lvl>
    <w:lvl w:ilvl="7" w:tplc="9DE26A46">
      <w:numFmt w:val="decimal"/>
      <w:lvlText w:val=""/>
      <w:lvlJc w:val="left"/>
    </w:lvl>
    <w:lvl w:ilvl="8" w:tplc="8A8A5844">
      <w:numFmt w:val="decimal"/>
      <w:lvlText w:val=""/>
      <w:lvlJc w:val="left"/>
    </w:lvl>
  </w:abstractNum>
  <w:abstractNum w:abstractNumId="1" w15:restartNumberingAfterBreak="0">
    <w:nsid w:val="0B37E80A"/>
    <w:multiLevelType w:val="hybridMultilevel"/>
    <w:tmpl w:val="260040A4"/>
    <w:lvl w:ilvl="0" w:tplc="31AA8E2A">
      <w:start w:val="1"/>
      <w:numFmt w:val="decimal"/>
      <w:lvlText w:val="%1."/>
      <w:lvlJc w:val="left"/>
    </w:lvl>
    <w:lvl w:ilvl="1" w:tplc="86F029C8">
      <w:start w:val="1"/>
      <w:numFmt w:val="decimal"/>
      <w:lvlText w:val="%2"/>
      <w:lvlJc w:val="left"/>
    </w:lvl>
    <w:lvl w:ilvl="2" w:tplc="51AA618A">
      <w:numFmt w:val="decimal"/>
      <w:lvlText w:val=""/>
      <w:lvlJc w:val="left"/>
    </w:lvl>
    <w:lvl w:ilvl="3" w:tplc="538EDEAE">
      <w:numFmt w:val="decimal"/>
      <w:lvlText w:val=""/>
      <w:lvlJc w:val="left"/>
    </w:lvl>
    <w:lvl w:ilvl="4" w:tplc="52D88992">
      <w:numFmt w:val="decimal"/>
      <w:lvlText w:val=""/>
      <w:lvlJc w:val="left"/>
    </w:lvl>
    <w:lvl w:ilvl="5" w:tplc="42F4E118">
      <w:numFmt w:val="decimal"/>
      <w:lvlText w:val=""/>
      <w:lvlJc w:val="left"/>
    </w:lvl>
    <w:lvl w:ilvl="6" w:tplc="F81CF97E">
      <w:numFmt w:val="decimal"/>
      <w:lvlText w:val=""/>
      <w:lvlJc w:val="left"/>
    </w:lvl>
    <w:lvl w:ilvl="7" w:tplc="EBFCC65E">
      <w:numFmt w:val="decimal"/>
      <w:lvlText w:val=""/>
      <w:lvlJc w:val="left"/>
    </w:lvl>
    <w:lvl w:ilvl="8" w:tplc="7D9AEA42">
      <w:numFmt w:val="decimal"/>
      <w:lvlText w:val=""/>
      <w:lvlJc w:val="left"/>
    </w:lvl>
  </w:abstractNum>
  <w:abstractNum w:abstractNumId="2" w15:restartNumberingAfterBreak="0">
    <w:nsid w:val="0BFFAE18"/>
    <w:multiLevelType w:val="hybridMultilevel"/>
    <w:tmpl w:val="EDEC1A08"/>
    <w:lvl w:ilvl="0" w:tplc="F976D21E">
      <w:start w:val="1"/>
      <w:numFmt w:val="bullet"/>
      <w:lvlText w:val="•"/>
      <w:lvlJc w:val="left"/>
    </w:lvl>
    <w:lvl w:ilvl="1" w:tplc="4A3406A4">
      <w:numFmt w:val="decimal"/>
      <w:lvlText w:val=""/>
      <w:lvlJc w:val="left"/>
    </w:lvl>
    <w:lvl w:ilvl="2" w:tplc="3B30FD16">
      <w:numFmt w:val="decimal"/>
      <w:lvlText w:val=""/>
      <w:lvlJc w:val="left"/>
    </w:lvl>
    <w:lvl w:ilvl="3" w:tplc="EB362A20">
      <w:numFmt w:val="decimal"/>
      <w:lvlText w:val=""/>
      <w:lvlJc w:val="left"/>
    </w:lvl>
    <w:lvl w:ilvl="4" w:tplc="82A45202">
      <w:numFmt w:val="decimal"/>
      <w:lvlText w:val=""/>
      <w:lvlJc w:val="left"/>
    </w:lvl>
    <w:lvl w:ilvl="5" w:tplc="6C52F19C">
      <w:numFmt w:val="decimal"/>
      <w:lvlText w:val=""/>
      <w:lvlJc w:val="left"/>
    </w:lvl>
    <w:lvl w:ilvl="6" w:tplc="A3AC8D1A">
      <w:numFmt w:val="decimal"/>
      <w:lvlText w:val=""/>
      <w:lvlJc w:val="left"/>
    </w:lvl>
    <w:lvl w:ilvl="7" w:tplc="943AE2DC">
      <w:numFmt w:val="decimal"/>
      <w:lvlText w:val=""/>
      <w:lvlJc w:val="left"/>
    </w:lvl>
    <w:lvl w:ilvl="8" w:tplc="B336A5CC">
      <w:numFmt w:val="decimal"/>
      <w:lvlText w:val=""/>
      <w:lvlJc w:val="left"/>
    </w:lvl>
  </w:abstractNum>
  <w:abstractNum w:abstractNumId="3" w15:restartNumberingAfterBreak="0">
    <w:nsid w:val="0E3E47A8"/>
    <w:multiLevelType w:val="hybridMultilevel"/>
    <w:tmpl w:val="6F7AF894"/>
    <w:lvl w:ilvl="0" w:tplc="E21E4B98">
      <w:start w:val="1"/>
      <w:numFmt w:val="bullet"/>
      <w:lvlText w:val="•"/>
      <w:lvlJc w:val="left"/>
    </w:lvl>
    <w:lvl w:ilvl="1" w:tplc="6B088C34">
      <w:numFmt w:val="decimal"/>
      <w:lvlText w:val=""/>
      <w:lvlJc w:val="left"/>
    </w:lvl>
    <w:lvl w:ilvl="2" w:tplc="44C47E42">
      <w:numFmt w:val="decimal"/>
      <w:lvlText w:val=""/>
      <w:lvlJc w:val="left"/>
    </w:lvl>
    <w:lvl w:ilvl="3" w:tplc="1B980DBC">
      <w:numFmt w:val="decimal"/>
      <w:lvlText w:val=""/>
      <w:lvlJc w:val="left"/>
    </w:lvl>
    <w:lvl w:ilvl="4" w:tplc="68CCEF2C">
      <w:numFmt w:val="decimal"/>
      <w:lvlText w:val=""/>
      <w:lvlJc w:val="left"/>
    </w:lvl>
    <w:lvl w:ilvl="5" w:tplc="0420B216">
      <w:numFmt w:val="decimal"/>
      <w:lvlText w:val=""/>
      <w:lvlJc w:val="left"/>
    </w:lvl>
    <w:lvl w:ilvl="6" w:tplc="6A70B43A">
      <w:numFmt w:val="decimal"/>
      <w:lvlText w:val=""/>
      <w:lvlJc w:val="left"/>
    </w:lvl>
    <w:lvl w:ilvl="7" w:tplc="A95E1DDA">
      <w:numFmt w:val="decimal"/>
      <w:lvlText w:val=""/>
      <w:lvlJc w:val="left"/>
    </w:lvl>
    <w:lvl w:ilvl="8" w:tplc="AB10F224">
      <w:numFmt w:val="decimal"/>
      <w:lvlText w:val=""/>
      <w:lvlJc w:val="left"/>
    </w:lvl>
  </w:abstractNum>
  <w:abstractNum w:abstractNumId="4" w15:restartNumberingAfterBreak="0">
    <w:nsid w:val="1816F8C4"/>
    <w:multiLevelType w:val="hybridMultilevel"/>
    <w:tmpl w:val="A3742816"/>
    <w:lvl w:ilvl="0" w:tplc="460A49C0">
      <w:start w:val="1"/>
      <w:numFmt w:val="bullet"/>
      <w:lvlText w:val="•"/>
      <w:lvlJc w:val="left"/>
    </w:lvl>
    <w:lvl w:ilvl="1" w:tplc="D2FA492C">
      <w:numFmt w:val="decimal"/>
      <w:lvlText w:val=""/>
      <w:lvlJc w:val="left"/>
    </w:lvl>
    <w:lvl w:ilvl="2" w:tplc="8AB0F7F6">
      <w:numFmt w:val="decimal"/>
      <w:lvlText w:val=""/>
      <w:lvlJc w:val="left"/>
    </w:lvl>
    <w:lvl w:ilvl="3" w:tplc="4C5E4350">
      <w:numFmt w:val="decimal"/>
      <w:lvlText w:val=""/>
      <w:lvlJc w:val="left"/>
    </w:lvl>
    <w:lvl w:ilvl="4" w:tplc="9F4A57CE">
      <w:numFmt w:val="decimal"/>
      <w:lvlText w:val=""/>
      <w:lvlJc w:val="left"/>
    </w:lvl>
    <w:lvl w:ilvl="5" w:tplc="D8A84460">
      <w:numFmt w:val="decimal"/>
      <w:lvlText w:val=""/>
      <w:lvlJc w:val="left"/>
    </w:lvl>
    <w:lvl w:ilvl="6" w:tplc="853002A0">
      <w:numFmt w:val="decimal"/>
      <w:lvlText w:val=""/>
      <w:lvlJc w:val="left"/>
    </w:lvl>
    <w:lvl w:ilvl="7" w:tplc="09AC87EC">
      <w:numFmt w:val="decimal"/>
      <w:lvlText w:val=""/>
      <w:lvlJc w:val="left"/>
    </w:lvl>
    <w:lvl w:ilvl="8" w:tplc="D0A62EAE">
      <w:numFmt w:val="decimal"/>
      <w:lvlText w:val=""/>
      <w:lvlJc w:val="left"/>
    </w:lvl>
  </w:abstractNum>
  <w:abstractNum w:abstractNumId="5" w15:restartNumberingAfterBreak="0">
    <w:nsid w:val="1849C29B"/>
    <w:multiLevelType w:val="hybridMultilevel"/>
    <w:tmpl w:val="3B9AE1EA"/>
    <w:lvl w:ilvl="0" w:tplc="8EFABA66">
      <w:start w:val="1"/>
      <w:numFmt w:val="bullet"/>
      <w:lvlText w:val="•"/>
      <w:lvlJc w:val="left"/>
    </w:lvl>
    <w:lvl w:ilvl="1" w:tplc="496AF9BA">
      <w:numFmt w:val="decimal"/>
      <w:lvlText w:val=""/>
      <w:lvlJc w:val="left"/>
    </w:lvl>
    <w:lvl w:ilvl="2" w:tplc="12B6339E">
      <w:numFmt w:val="decimal"/>
      <w:lvlText w:val=""/>
      <w:lvlJc w:val="left"/>
    </w:lvl>
    <w:lvl w:ilvl="3" w:tplc="A0F8FD22">
      <w:numFmt w:val="decimal"/>
      <w:lvlText w:val=""/>
      <w:lvlJc w:val="left"/>
    </w:lvl>
    <w:lvl w:ilvl="4" w:tplc="C09CAFC8">
      <w:numFmt w:val="decimal"/>
      <w:lvlText w:val=""/>
      <w:lvlJc w:val="left"/>
    </w:lvl>
    <w:lvl w:ilvl="5" w:tplc="2E107182">
      <w:numFmt w:val="decimal"/>
      <w:lvlText w:val=""/>
      <w:lvlJc w:val="left"/>
    </w:lvl>
    <w:lvl w:ilvl="6" w:tplc="E8D48E6C">
      <w:numFmt w:val="decimal"/>
      <w:lvlText w:val=""/>
      <w:lvlJc w:val="left"/>
    </w:lvl>
    <w:lvl w:ilvl="7" w:tplc="6524B4D2">
      <w:numFmt w:val="decimal"/>
      <w:lvlText w:val=""/>
      <w:lvlJc w:val="left"/>
    </w:lvl>
    <w:lvl w:ilvl="8" w:tplc="8D7669C4">
      <w:numFmt w:val="decimal"/>
      <w:lvlText w:val=""/>
      <w:lvlJc w:val="left"/>
    </w:lvl>
  </w:abstractNum>
  <w:abstractNum w:abstractNumId="6" w15:restartNumberingAfterBreak="0">
    <w:nsid w:val="2157F6BC"/>
    <w:multiLevelType w:val="hybridMultilevel"/>
    <w:tmpl w:val="113216C6"/>
    <w:lvl w:ilvl="0" w:tplc="3260E314">
      <w:start w:val="1"/>
      <w:numFmt w:val="decimal"/>
      <w:lvlText w:val="%1."/>
      <w:lvlJc w:val="left"/>
    </w:lvl>
    <w:lvl w:ilvl="1" w:tplc="215C2BCC">
      <w:start w:val="1"/>
      <w:numFmt w:val="decimal"/>
      <w:lvlText w:val="%2"/>
      <w:lvlJc w:val="left"/>
    </w:lvl>
    <w:lvl w:ilvl="2" w:tplc="BF023D4A">
      <w:numFmt w:val="decimal"/>
      <w:lvlText w:val=""/>
      <w:lvlJc w:val="left"/>
    </w:lvl>
    <w:lvl w:ilvl="3" w:tplc="C560A198">
      <w:numFmt w:val="decimal"/>
      <w:lvlText w:val=""/>
      <w:lvlJc w:val="left"/>
    </w:lvl>
    <w:lvl w:ilvl="4" w:tplc="D8DE7AA8">
      <w:numFmt w:val="decimal"/>
      <w:lvlText w:val=""/>
      <w:lvlJc w:val="left"/>
    </w:lvl>
    <w:lvl w:ilvl="5" w:tplc="100E647A">
      <w:numFmt w:val="decimal"/>
      <w:lvlText w:val=""/>
      <w:lvlJc w:val="left"/>
    </w:lvl>
    <w:lvl w:ilvl="6" w:tplc="2C3A125E">
      <w:numFmt w:val="decimal"/>
      <w:lvlText w:val=""/>
      <w:lvlJc w:val="left"/>
    </w:lvl>
    <w:lvl w:ilvl="7" w:tplc="E8464F82">
      <w:numFmt w:val="decimal"/>
      <w:lvlText w:val=""/>
      <w:lvlJc w:val="left"/>
    </w:lvl>
    <w:lvl w:ilvl="8" w:tplc="928C98E4">
      <w:numFmt w:val="decimal"/>
      <w:lvlText w:val=""/>
      <w:lvlJc w:val="left"/>
    </w:lvl>
  </w:abstractNum>
  <w:abstractNum w:abstractNumId="7" w15:restartNumberingAfterBreak="0">
    <w:nsid w:val="24E99DD7"/>
    <w:multiLevelType w:val="hybridMultilevel"/>
    <w:tmpl w:val="3CD067F6"/>
    <w:lvl w:ilvl="0" w:tplc="AB82115A">
      <w:start w:val="4"/>
      <w:numFmt w:val="decimal"/>
      <w:lvlText w:val="%1."/>
      <w:lvlJc w:val="left"/>
    </w:lvl>
    <w:lvl w:ilvl="1" w:tplc="0900A946">
      <w:numFmt w:val="decimal"/>
      <w:lvlText w:val=""/>
      <w:lvlJc w:val="left"/>
    </w:lvl>
    <w:lvl w:ilvl="2" w:tplc="72A81FD6">
      <w:numFmt w:val="decimal"/>
      <w:lvlText w:val=""/>
      <w:lvlJc w:val="left"/>
    </w:lvl>
    <w:lvl w:ilvl="3" w:tplc="D172AC98">
      <w:numFmt w:val="decimal"/>
      <w:lvlText w:val=""/>
      <w:lvlJc w:val="left"/>
    </w:lvl>
    <w:lvl w:ilvl="4" w:tplc="D3FC08F8">
      <w:numFmt w:val="decimal"/>
      <w:lvlText w:val=""/>
      <w:lvlJc w:val="left"/>
    </w:lvl>
    <w:lvl w:ilvl="5" w:tplc="88AA7D48">
      <w:numFmt w:val="decimal"/>
      <w:lvlText w:val=""/>
      <w:lvlJc w:val="left"/>
    </w:lvl>
    <w:lvl w:ilvl="6" w:tplc="AFACF1FA">
      <w:numFmt w:val="decimal"/>
      <w:lvlText w:val=""/>
      <w:lvlJc w:val="left"/>
    </w:lvl>
    <w:lvl w:ilvl="7" w:tplc="9A18183A">
      <w:numFmt w:val="decimal"/>
      <w:lvlText w:val=""/>
      <w:lvlJc w:val="left"/>
    </w:lvl>
    <w:lvl w:ilvl="8" w:tplc="D09C9ED6">
      <w:numFmt w:val="decimal"/>
      <w:lvlText w:val=""/>
      <w:lvlJc w:val="left"/>
    </w:lvl>
  </w:abstractNum>
  <w:abstractNum w:abstractNumId="8" w15:restartNumberingAfterBreak="0">
    <w:nsid w:val="24F6AB8E"/>
    <w:multiLevelType w:val="hybridMultilevel"/>
    <w:tmpl w:val="D34CA214"/>
    <w:lvl w:ilvl="0" w:tplc="529C9BE2">
      <w:start w:val="1"/>
      <w:numFmt w:val="bullet"/>
      <w:lvlText w:val="•"/>
      <w:lvlJc w:val="left"/>
    </w:lvl>
    <w:lvl w:ilvl="1" w:tplc="B12C8C7E">
      <w:numFmt w:val="decimal"/>
      <w:lvlText w:val=""/>
      <w:lvlJc w:val="left"/>
    </w:lvl>
    <w:lvl w:ilvl="2" w:tplc="2DACA36C">
      <w:numFmt w:val="decimal"/>
      <w:lvlText w:val=""/>
      <w:lvlJc w:val="left"/>
    </w:lvl>
    <w:lvl w:ilvl="3" w:tplc="DB8294BE">
      <w:numFmt w:val="decimal"/>
      <w:lvlText w:val=""/>
      <w:lvlJc w:val="left"/>
    </w:lvl>
    <w:lvl w:ilvl="4" w:tplc="BB4AA456">
      <w:numFmt w:val="decimal"/>
      <w:lvlText w:val=""/>
      <w:lvlJc w:val="left"/>
    </w:lvl>
    <w:lvl w:ilvl="5" w:tplc="202810E6">
      <w:numFmt w:val="decimal"/>
      <w:lvlText w:val=""/>
      <w:lvlJc w:val="left"/>
    </w:lvl>
    <w:lvl w:ilvl="6" w:tplc="CCAA22C0">
      <w:numFmt w:val="decimal"/>
      <w:lvlText w:val=""/>
      <w:lvlJc w:val="left"/>
    </w:lvl>
    <w:lvl w:ilvl="7" w:tplc="75E2CE88">
      <w:numFmt w:val="decimal"/>
      <w:lvlText w:val=""/>
      <w:lvlJc w:val="left"/>
    </w:lvl>
    <w:lvl w:ilvl="8" w:tplc="CCD0DCCE">
      <w:numFmt w:val="decimal"/>
      <w:lvlText w:val=""/>
      <w:lvlJc w:val="left"/>
    </w:lvl>
  </w:abstractNum>
  <w:abstractNum w:abstractNumId="9" w15:restartNumberingAfterBreak="0">
    <w:nsid w:val="2A31B62D"/>
    <w:multiLevelType w:val="hybridMultilevel"/>
    <w:tmpl w:val="688E7DE6"/>
    <w:lvl w:ilvl="0" w:tplc="84DA0326">
      <w:start w:val="1"/>
      <w:numFmt w:val="bullet"/>
      <w:lvlText w:val="•"/>
      <w:lvlJc w:val="left"/>
    </w:lvl>
    <w:lvl w:ilvl="1" w:tplc="022A5BD0">
      <w:numFmt w:val="decimal"/>
      <w:lvlText w:val=""/>
      <w:lvlJc w:val="left"/>
    </w:lvl>
    <w:lvl w:ilvl="2" w:tplc="98604280">
      <w:numFmt w:val="decimal"/>
      <w:lvlText w:val=""/>
      <w:lvlJc w:val="left"/>
    </w:lvl>
    <w:lvl w:ilvl="3" w:tplc="B88C4950">
      <w:numFmt w:val="decimal"/>
      <w:lvlText w:val=""/>
      <w:lvlJc w:val="left"/>
    </w:lvl>
    <w:lvl w:ilvl="4" w:tplc="FDAC4774">
      <w:numFmt w:val="decimal"/>
      <w:lvlText w:val=""/>
      <w:lvlJc w:val="left"/>
    </w:lvl>
    <w:lvl w:ilvl="5" w:tplc="B8146676">
      <w:numFmt w:val="decimal"/>
      <w:lvlText w:val=""/>
      <w:lvlJc w:val="left"/>
    </w:lvl>
    <w:lvl w:ilvl="6" w:tplc="1B48FBC6">
      <w:numFmt w:val="decimal"/>
      <w:lvlText w:val=""/>
      <w:lvlJc w:val="left"/>
    </w:lvl>
    <w:lvl w:ilvl="7" w:tplc="95682962">
      <w:numFmt w:val="decimal"/>
      <w:lvlText w:val=""/>
      <w:lvlJc w:val="left"/>
    </w:lvl>
    <w:lvl w:ilvl="8" w:tplc="1676FA0C">
      <w:numFmt w:val="decimal"/>
      <w:lvlText w:val=""/>
      <w:lvlJc w:val="left"/>
    </w:lvl>
  </w:abstractNum>
  <w:abstractNum w:abstractNumId="10" w15:restartNumberingAfterBreak="0">
    <w:nsid w:val="2A6DE806"/>
    <w:multiLevelType w:val="hybridMultilevel"/>
    <w:tmpl w:val="1122B102"/>
    <w:lvl w:ilvl="0" w:tplc="4BC42AC0">
      <w:start w:val="1"/>
      <w:numFmt w:val="bullet"/>
      <w:lvlText w:val="•"/>
      <w:lvlJc w:val="left"/>
    </w:lvl>
    <w:lvl w:ilvl="1" w:tplc="9280D3E4">
      <w:numFmt w:val="decimal"/>
      <w:lvlText w:val=""/>
      <w:lvlJc w:val="left"/>
    </w:lvl>
    <w:lvl w:ilvl="2" w:tplc="7ED6538E">
      <w:numFmt w:val="decimal"/>
      <w:lvlText w:val=""/>
      <w:lvlJc w:val="left"/>
    </w:lvl>
    <w:lvl w:ilvl="3" w:tplc="CCA67808">
      <w:numFmt w:val="decimal"/>
      <w:lvlText w:val=""/>
      <w:lvlJc w:val="left"/>
    </w:lvl>
    <w:lvl w:ilvl="4" w:tplc="70AAAEEE">
      <w:numFmt w:val="decimal"/>
      <w:lvlText w:val=""/>
      <w:lvlJc w:val="left"/>
    </w:lvl>
    <w:lvl w:ilvl="5" w:tplc="8C3EA2F8">
      <w:numFmt w:val="decimal"/>
      <w:lvlText w:val=""/>
      <w:lvlJc w:val="left"/>
    </w:lvl>
    <w:lvl w:ilvl="6" w:tplc="72CEC9EC">
      <w:numFmt w:val="decimal"/>
      <w:lvlText w:val=""/>
      <w:lvlJc w:val="left"/>
    </w:lvl>
    <w:lvl w:ilvl="7" w:tplc="0B10A980">
      <w:numFmt w:val="decimal"/>
      <w:lvlText w:val=""/>
      <w:lvlJc w:val="left"/>
    </w:lvl>
    <w:lvl w:ilvl="8" w:tplc="33A240E4">
      <w:numFmt w:val="decimal"/>
      <w:lvlText w:val=""/>
      <w:lvlJc w:val="left"/>
    </w:lvl>
  </w:abstractNum>
  <w:abstractNum w:abstractNumId="11" w15:restartNumberingAfterBreak="0">
    <w:nsid w:val="2E48F044"/>
    <w:multiLevelType w:val="hybridMultilevel"/>
    <w:tmpl w:val="7CA43FA6"/>
    <w:lvl w:ilvl="0" w:tplc="0D2493EE">
      <w:start w:val="1"/>
      <w:numFmt w:val="bullet"/>
      <w:lvlText w:val="•"/>
      <w:lvlJc w:val="left"/>
    </w:lvl>
    <w:lvl w:ilvl="1" w:tplc="A2D0AA00">
      <w:numFmt w:val="decimal"/>
      <w:lvlText w:val=""/>
      <w:lvlJc w:val="left"/>
    </w:lvl>
    <w:lvl w:ilvl="2" w:tplc="4ED25EEE">
      <w:numFmt w:val="decimal"/>
      <w:lvlText w:val=""/>
      <w:lvlJc w:val="left"/>
    </w:lvl>
    <w:lvl w:ilvl="3" w:tplc="257C7DEE">
      <w:numFmt w:val="decimal"/>
      <w:lvlText w:val=""/>
      <w:lvlJc w:val="left"/>
    </w:lvl>
    <w:lvl w:ilvl="4" w:tplc="84867118">
      <w:numFmt w:val="decimal"/>
      <w:lvlText w:val=""/>
      <w:lvlJc w:val="left"/>
    </w:lvl>
    <w:lvl w:ilvl="5" w:tplc="3D322AF0">
      <w:numFmt w:val="decimal"/>
      <w:lvlText w:val=""/>
      <w:lvlJc w:val="left"/>
    </w:lvl>
    <w:lvl w:ilvl="6" w:tplc="A3D49890">
      <w:numFmt w:val="decimal"/>
      <w:lvlText w:val=""/>
      <w:lvlJc w:val="left"/>
    </w:lvl>
    <w:lvl w:ilvl="7" w:tplc="6B1C8330">
      <w:numFmt w:val="decimal"/>
      <w:lvlText w:val=""/>
      <w:lvlJc w:val="left"/>
    </w:lvl>
    <w:lvl w:ilvl="8" w:tplc="64521A18">
      <w:numFmt w:val="decimal"/>
      <w:lvlText w:val=""/>
      <w:lvlJc w:val="left"/>
    </w:lvl>
  </w:abstractNum>
  <w:abstractNum w:abstractNumId="12" w15:restartNumberingAfterBreak="0">
    <w:nsid w:val="37DF2233"/>
    <w:multiLevelType w:val="hybridMultilevel"/>
    <w:tmpl w:val="EC5075BC"/>
    <w:lvl w:ilvl="0" w:tplc="3BF48A42">
      <w:start w:val="1"/>
      <w:numFmt w:val="bullet"/>
      <w:lvlText w:val="•"/>
      <w:lvlJc w:val="left"/>
    </w:lvl>
    <w:lvl w:ilvl="1" w:tplc="79CE6C46">
      <w:numFmt w:val="decimal"/>
      <w:lvlText w:val=""/>
      <w:lvlJc w:val="left"/>
    </w:lvl>
    <w:lvl w:ilvl="2" w:tplc="5428FB76">
      <w:numFmt w:val="decimal"/>
      <w:lvlText w:val=""/>
      <w:lvlJc w:val="left"/>
    </w:lvl>
    <w:lvl w:ilvl="3" w:tplc="63BCA860">
      <w:numFmt w:val="decimal"/>
      <w:lvlText w:val=""/>
      <w:lvlJc w:val="left"/>
    </w:lvl>
    <w:lvl w:ilvl="4" w:tplc="E7E246A2">
      <w:numFmt w:val="decimal"/>
      <w:lvlText w:val=""/>
      <w:lvlJc w:val="left"/>
    </w:lvl>
    <w:lvl w:ilvl="5" w:tplc="111E19F6">
      <w:numFmt w:val="decimal"/>
      <w:lvlText w:val=""/>
      <w:lvlJc w:val="left"/>
    </w:lvl>
    <w:lvl w:ilvl="6" w:tplc="316ECA60">
      <w:numFmt w:val="decimal"/>
      <w:lvlText w:val=""/>
      <w:lvlJc w:val="left"/>
    </w:lvl>
    <w:lvl w:ilvl="7" w:tplc="57302E2A">
      <w:numFmt w:val="decimal"/>
      <w:lvlText w:val=""/>
      <w:lvlJc w:val="left"/>
    </w:lvl>
    <w:lvl w:ilvl="8" w:tplc="5A8C41F6">
      <w:numFmt w:val="decimal"/>
      <w:lvlText w:val=""/>
      <w:lvlJc w:val="left"/>
    </w:lvl>
  </w:abstractNum>
  <w:abstractNum w:abstractNumId="13" w15:restartNumberingAfterBreak="0">
    <w:nsid w:val="4427069A"/>
    <w:multiLevelType w:val="hybridMultilevel"/>
    <w:tmpl w:val="E7AE83D2"/>
    <w:lvl w:ilvl="0" w:tplc="8DB62ABC">
      <w:start w:val="1"/>
      <w:numFmt w:val="bullet"/>
      <w:lvlText w:val="•"/>
      <w:lvlJc w:val="left"/>
    </w:lvl>
    <w:lvl w:ilvl="1" w:tplc="EBC810FA">
      <w:numFmt w:val="decimal"/>
      <w:lvlText w:val=""/>
      <w:lvlJc w:val="left"/>
    </w:lvl>
    <w:lvl w:ilvl="2" w:tplc="A2A62F74">
      <w:numFmt w:val="decimal"/>
      <w:lvlText w:val=""/>
      <w:lvlJc w:val="left"/>
    </w:lvl>
    <w:lvl w:ilvl="3" w:tplc="C71AA622">
      <w:numFmt w:val="decimal"/>
      <w:lvlText w:val=""/>
      <w:lvlJc w:val="left"/>
    </w:lvl>
    <w:lvl w:ilvl="4" w:tplc="EBB4F474">
      <w:numFmt w:val="decimal"/>
      <w:lvlText w:val=""/>
      <w:lvlJc w:val="left"/>
    </w:lvl>
    <w:lvl w:ilvl="5" w:tplc="A1B41EE2">
      <w:numFmt w:val="decimal"/>
      <w:lvlText w:val=""/>
      <w:lvlJc w:val="left"/>
    </w:lvl>
    <w:lvl w:ilvl="6" w:tplc="23885AC2">
      <w:numFmt w:val="decimal"/>
      <w:lvlText w:val=""/>
      <w:lvlJc w:val="left"/>
    </w:lvl>
    <w:lvl w:ilvl="7" w:tplc="433A80C0">
      <w:numFmt w:val="decimal"/>
      <w:lvlText w:val=""/>
      <w:lvlJc w:val="left"/>
    </w:lvl>
    <w:lvl w:ilvl="8" w:tplc="C578114E">
      <w:numFmt w:val="decimal"/>
      <w:lvlText w:val=""/>
      <w:lvlJc w:val="left"/>
    </w:lvl>
  </w:abstractNum>
  <w:abstractNum w:abstractNumId="14" w15:restartNumberingAfterBreak="0">
    <w:nsid w:val="49D0FEAC"/>
    <w:multiLevelType w:val="hybridMultilevel"/>
    <w:tmpl w:val="69AEB8A6"/>
    <w:lvl w:ilvl="0" w:tplc="5A282758">
      <w:start w:val="3"/>
      <w:numFmt w:val="decimal"/>
      <w:lvlText w:val="%1."/>
      <w:lvlJc w:val="left"/>
    </w:lvl>
    <w:lvl w:ilvl="1" w:tplc="AC48BC0A">
      <w:numFmt w:val="decimal"/>
      <w:lvlText w:val=""/>
      <w:lvlJc w:val="left"/>
    </w:lvl>
    <w:lvl w:ilvl="2" w:tplc="6E008470">
      <w:numFmt w:val="decimal"/>
      <w:lvlText w:val=""/>
      <w:lvlJc w:val="left"/>
    </w:lvl>
    <w:lvl w:ilvl="3" w:tplc="5EC41010">
      <w:numFmt w:val="decimal"/>
      <w:lvlText w:val=""/>
      <w:lvlJc w:val="left"/>
    </w:lvl>
    <w:lvl w:ilvl="4" w:tplc="73945A38">
      <w:numFmt w:val="decimal"/>
      <w:lvlText w:val=""/>
      <w:lvlJc w:val="left"/>
    </w:lvl>
    <w:lvl w:ilvl="5" w:tplc="7098EA14">
      <w:numFmt w:val="decimal"/>
      <w:lvlText w:val=""/>
      <w:lvlJc w:val="left"/>
    </w:lvl>
    <w:lvl w:ilvl="6" w:tplc="7F880162">
      <w:numFmt w:val="decimal"/>
      <w:lvlText w:val=""/>
      <w:lvlJc w:val="left"/>
    </w:lvl>
    <w:lvl w:ilvl="7" w:tplc="72ACA448">
      <w:numFmt w:val="decimal"/>
      <w:lvlText w:val=""/>
      <w:lvlJc w:val="left"/>
    </w:lvl>
    <w:lvl w:ilvl="8" w:tplc="CCEC1EEA">
      <w:numFmt w:val="decimal"/>
      <w:lvlText w:val=""/>
      <w:lvlJc w:val="left"/>
    </w:lvl>
  </w:abstractNum>
  <w:abstractNum w:abstractNumId="15" w15:restartNumberingAfterBreak="0">
    <w:nsid w:val="4BEE5A5B"/>
    <w:multiLevelType w:val="hybridMultilevel"/>
    <w:tmpl w:val="D632B874"/>
    <w:lvl w:ilvl="0" w:tplc="CAA6CDB8">
      <w:start w:val="1"/>
      <w:numFmt w:val="bullet"/>
      <w:lvlText w:val="•"/>
      <w:lvlJc w:val="left"/>
    </w:lvl>
    <w:lvl w:ilvl="1" w:tplc="B32AC76C">
      <w:numFmt w:val="decimal"/>
      <w:lvlText w:val=""/>
      <w:lvlJc w:val="left"/>
    </w:lvl>
    <w:lvl w:ilvl="2" w:tplc="EF3EBA4E">
      <w:numFmt w:val="decimal"/>
      <w:lvlText w:val=""/>
      <w:lvlJc w:val="left"/>
    </w:lvl>
    <w:lvl w:ilvl="3" w:tplc="CBF4DA5E">
      <w:numFmt w:val="decimal"/>
      <w:lvlText w:val=""/>
      <w:lvlJc w:val="left"/>
    </w:lvl>
    <w:lvl w:ilvl="4" w:tplc="09D0AFA4">
      <w:numFmt w:val="decimal"/>
      <w:lvlText w:val=""/>
      <w:lvlJc w:val="left"/>
    </w:lvl>
    <w:lvl w:ilvl="5" w:tplc="A7EC8BAC">
      <w:numFmt w:val="decimal"/>
      <w:lvlText w:val=""/>
      <w:lvlJc w:val="left"/>
    </w:lvl>
    <w:lvl w:ilvl="6" w:tplc="B12A2DC4">
      <w:numFmt w:val="decimal"/>
      <w:lvlText w:val=""/>
      <w:lvlJc w:val="left"/>
    </w:lvl>
    <w:lvl w:ilvl="7" w:tplc="FEDA7E6C">
      <w:numFmt w:val="decimal"/>
      <w:lvlText w:val=""/>
      <w:lvlJc w:val="left"/>
    </w:lvl>
    <w:lvl w:ilvl="8" w:tplc="946A4BD0">
      <w:numFmt w:val="decimal"/>
      <w:lvlText w:val=""/>
      <w:lvlJc w:val="left"/>
    </w:lvl>
  </w:abstractNum>
  <w:abstractNum w:abstractNumId="16" w15:restartNumberingAfterBreak="0">
    <w:nsid w:val="5551B9F3"/>
    <w:multiLevelType w:val="hybridMultilevel"/>
    <w:tmpl w:val="4F4CAE9A"/>
    <w:lvl w:ilvl="0" w:tplc="D500EBE6">
      <w:start w:val="1"/>
      <w:numFmt w:val="bullet"/>
      <w:lvlText w:val="•"/>
      <w:lvlJc w:val="left"/>
    </w:lvl>
    <w:lvl w:ilvl="1" w:tplc="7E5C1076">
      <w:numFmt w:val="decimal"/>
      <w:lvlText w:val=""/>
      <w:lvlJc w:val="left"/>
    </w:lvl>
    <w:lvl w:ilvl="2" w:tplc="F1B06FBE">
      <w:numFmt w:val="decimal"/>
      <w:lvlText w:val=""/>
      <w:lvlJc w:val="left"/>
    </w:lvl>
    <w:lvl w:ilvl="3" w:tplc="2E5E527A">
      <w:numFmt w:val="decimal"/>
      <w:lvlText w:val=""/>
      <w:lvlJc w:val="left"/>
    </w:lvl>
    <w:lvl w:ilvl="4" w:tplc="A80C847E">
      <w:numFmt w:val="decimal"/>
      <w:lvlText w:val=""/>
      <w:lvlJc w:val="left"/>
    </w:lvl>
    <w:lvl w:ilvl="5" w:tplc="66C86E50">
      <w:numFmt w:val="decimal"/>
      <w:lvlText w:val=""/>
      <w:lvlJc w:val="left"/>
    </w:lvl>
    <w:lvl w:ilvl="6" w:tplc="7AFC7E32">
      <w:numFmt w:val="decimal"/>
      <w:lvlText w:val=""/>
      <w:lvlJc w:val="left"/>
    </w:lvl>
    <w:lvl w:ilvl="7" w:tplc="D0B41428">
      <w:numFmt w:val="decimal"/>
      <w:lvlText w:val=""/>
      <w:lvlJc w:val="left"/>
    </w:lvl>
    <w:lvl w:ilvl="8" w:tplc="C8E0E806">
      <w:numFmt w:val="decimal"/>
      <w:lvlText w:val=""/>
      <w:lvlJc w:val="left"/>
    </w:lvl>
  </w:abstractNum>
  <w:abstractNum w:abstractNumId="17" w15:restartNumberingAfterBreak="0">
    <w:nsid w:val="57D2F10E"/>
    <w:multiLevelType w:val="hybridMultilevel"/>
    <w:tmpl w:val="D484595E"/>
    <w:lvl w:ilvl="0" w:tplc="DB5C1178">
      <w:start w:val="1"/>
      <w:numFmt w:val="bullet"/>
      <w:lvlText w:val="•"/>
      <w:lvlJc w:val="left"/>
    </w:lvl>
    <w:lvl w:ilvl="1" w:tplc="A8A43E60">
      <w:numFmt w:val="decimal"/>
      <w:lvlText w:val=""/>
      <w:lvlJc w:val="left"/>
    </w:lvl>
    <w:lvl w:ilvl="2" w:tplc="4EB256CC">
      <w:numFmt w:val="decimal"/>
      <w:lvlText w:val=""/>
      <w:lvlJc w:val="left"/>
    </w:lvl>
    <w:lvl w:ilvl="3" w:tplc="6A8AB352">
      <w:numFmt w:val="decimal"/>
      <w:lvlText w:val=""/>
      <w:lvlJc w:val="left"/>
    </w:lvl>
    <w:lvl w:ilvl="4" w:tplc="DEDE894E">
      <w:numFmt w:val="decimal"/>
      <w:lvlText w:val=""/>
      <w:lvlJc w:val="left"/>
    </w:lvl>
    <w:lvl w:ilvl="5" w:tplc="FE18921A">
      <w:numFmt w:val="decimal"/>
      <w:lvlText w:val=""/>
      <w:lvlJc w:val="left"/>
    </w:lvl>
    <w:lvl w:ilvl="6" w:tplc="602AA33E">
      <w:numFmt w:val="decimal"/>
      <w:lvlText w:val=""/>
      <w:lvlJc w:val="left"/>
    </w:lvl>
    <w:lvl w:ilvl="7" w:tplc="29C4BBA2">
      <w:numFmt w:val="decimal"/>
      <w:lvlText w:val=""/>
      <w:lvlJc w:val="left"/>
    </w:lvl>
    <w:lvl w:ilvl="8" w:tplc="E6D28558">
      <w:numFmt w:val="decimal"/>
      <w:lvlText w:val=""/>
      <w:lvlJc w:val="left"/>
    </w:lvl>
  </w:abstractNum>
  <w:abstractNum w:abstractNumId="18" w15:restartNumberingAfterBreak="0">
    <w:nsid w:val="597B4D84"/>
    <w:multiLevelType w:val="hybridMultilevel"/>
    <w:tmpl w:val="DE9E18B2"/>
    <w:lvl w:ilvl="0" w:tplc="C7FC8DC2">
      <w:start w:val="1"/>
      <w:numFmt w:val="bullet"/>
      <w:lvlText w:val="•"/>
      <w:lvlJc w:val="left"/>
    </w:lvl>
    <w:lvl w:ilvl="1" w:tplc="C72EA3CA">
      <w:numFmt w:val="decimal"/>
      <w:lvlText w:val=""/>
      <w:lvlJc w:val="left"/>
    </w:lvl>
    <w:lvl w:ilvl="2" w:tplc="050E5E4A">
      <w:numFmt w:val="decimal"/>
      <w:lvlText w:val=""/>
      <w:lvlJc w:val="left"/>
    </w:lvl>
    <w:lvl w:ilvl="3" w:tplc="A67A4A70">
      <w:numFmt w:val="decimal"/>
      <w:lvlText w:val=""/>
      <w:lvlJc w:val="left"/>
    </w:lvl>
    <w:lvl w:ilvl="4" w:tplc="33DAB064">
      <w:numFmt w:val="decimal"/>
      <w:lvlText w:val=""/>
      <w:lvlJc w:val="left"/>
    </w:lvl>
    <w:lvl w:ilvl="5" w:tplc="88C0B66A">
      <w:numFmt w:val="decimal"/>
      <w:lvlText w:val=""/>
      <w:lvlJc w:val="left"/>
    </w:lvl>
    <w:lvl w:ilvl="6" w:tplc="9806A8E4">
      <w:numFmt w:val="decimal"/>
      <w:lvlText w:val=""/>
      <w:lvlJc w:val="left"/>
    </w:lvl>
    <w:lvl w:ilvl="7" w:tplc="ADE24F94">
      <w:numFmt w:val="decimal"/>
      <w:lvlText w:val=""/>
      <w:lvlJc w:val="left"/>
    </w:lvl>
    <w:lvl w:ilvl="8" w:tplc="6E542EF6">
      <w:numFmt w:val="decimal"/>
      <w:lvlText w:val=""/>
      <w:lvlJc w:val="left"/>
    </w:lvl>
  </w:abstractNum>
  <w:abstractNum w:abstractNumId="19" w15:restartNumberingAfterBreak="0">
    <w:nsid w:val="634C574C"/>
    <w:multiLevelType w:val="hybridMultilevel"/>
    <w:tmpl w:val="BDE812BE"/>
    <w:lvl w:ilvl="0" w:tplc="8B4C4CA8">
      <w:start w:val="1"/>
      <w:numFmt w:val="bullet"/>
      <w:lvlText w:val="•"/>
      <w:lvlJc w:val="left"/>
    </w:lvl>
    <w:lvl w:ilvl="1" w:tplc="1630AE84">
      <w:numFmt w:val="decimal"/>
      <w:lvlText w:val=""/>
      <w:lvlJc w:val="left"/>
    </w:lvl>
    <w:lvl w:ilvl="2" w:tplc="8EE2E75E">
      <w:numFmt w:val="decimal"/>
      <w:lvlText w:val=""/>
      <w:lvlJc w:val="left"/>
    </w:lvl>
    <w:lvl w:ilvl="3" w:tplc="929033A4">
      <w:numFmt w:val="decimal"/>
      <w:lvlText w:val=""/>
      <w:lvlJc w:val="left"/>
    </w:lvl>
    <w:lvl w:ilvl="4" w:tplc="A9E43518">
      <w:numFmt w:val="decimal"/>
      <w:lvlText w:val=""/>
      <w:lvlJc w:val="left"/>
    </w:lvl>
    <w:lvl w:ilvl="5" w:tplc="3D963180">
      <w:numFmt w:val="decimal"/>
      <w:lvlText w:val=""/>
      <w:lvlJc w:val="left"/>
    </w:lvl>
    <w:lvl w:ilvl="6" w:tplc="88442FC4">
      <w:numFmt w:val="decimal"/>
      <w:lvlText w:val=""/>
      <w:lvlJc w:val="left"/>
    </w:lvl>
    <w:lvl w:ilvl="7" w:tplc="FBF6C146">
      <w:numFmt w:val="decimal"/>
      <w:lvlText w:val=""/>
      <w:lvlJc w:val="left"/>
    </w:lvl>
    <w:lvl w:ilvl="8" w:tplc="51360E38">
      <w:numFmt w:val="decimal"/>
      <w:lvlText w:val=""/>
      <w:lvlJc w:val="left"/>
    </w:lvl>
  </w:abstractNum>
  <w:abstractNum w:abstractNumId="20" w15:restartNumberingAfterBreak="0">
    <w:nsid w:val="69E7F3E5"/>
    <w:multiLevelType w:val="hybridMultilevel"/>
    <w:tmpl w:val="1588779E"/>
    <w:lvl w:ilvl="0" w:tplc="4810042E">
      <w:start w:val="1"/>
      <w:numFmt w:val="bullet"/>
      <w:lvlText w:val="•"/>
      <w:lvlJc w:val="left"/>
    </w:lvl>
    <w:lvl w:ilvl="1" w:tplc="A1C44418">
      <w:numFmt w:val="decimal"/>
      <w:lvlText w:val=""/>
      <w:lvlJc w:val="left"/>
    </w:lvl>
    <w:lvl w:ilvl="2" w:tplc="9DE87C38">
      <w:numFmt w:val="decimal"/>
      <w:lvlText w:val=""/>
      <w:lvlJc w:val="left"/>
    </w:lvl>
    <w:lvl w:ilvl="3" w:tplc="0F742A64">
      <w:numFmt w:val="decimal"/>
      <w:lvlText w:val=""/>
      <w:lvlJc w:val="left"/>
    </w:lvl>
    <w:lvl w:ilvl="4" w:tplc="C5ACE344">
      <w:numFmt w:val="decimal"/>
      <w:lvlText w:val=""/>
      <w:lvlJc w:val="left"/>
    </w:lvl>
    <w:lvl w:ilvl="5" w:tplc="2F22817E">
      <w:numFmt w:val="decimal"/>
      <w:lvlText w:val=""/>
      <w:lvlJc w:val="left"/>
    </w:lvl>
    <w:lvl w:ilvl="6" w:tplc="43FA3F80">
      <w:numFmt w:val="decimal"/>
      <w:lvlText w:val=""/>
      <w:lvlJc w:val="left"/>
    </w:lvl>
    <w:lvl w:ilvl="7" w:tplc="69BCF326">
      <w:numFmt w:val="decimal"/>
      <w:lvlText w:val=""/>
      <w:lvlJc w:val="left"/>
    </w:lvl>
    <w:lvl w:ilvl="8" w:tplc="C3C272F6">
      <w:numFmt w:val="decimal"/>
      <w:lvlText w:val=""/>
      <w:lvlJc w:val="left"/>
    </w:lvl>
  </w:abstractNum>
  <w:abstractNum w:abstractNumId="21" w15:restartNumberingAfterBreak="0">
    <w:nsid w:val="704E1DD5"/>
    <w:multiLevelType w:val="hybridMultilevel"/>
    <w:tmpl w:val="BB0A2780"/>
    <w:lvl w:ilvl="0" w:tplc="A45E31A6">
      <w:start w:val="2"/>
      <w:numFmt w:val="decimal"/>
      <w:lvlText w:val="%1."/>
      <w:lvlJc w:val="left"/>
    </w:lvl>
    <w:lvl w:ilvl="1" w:tplc="238E5356">
      <w:numFmt w:val="decimal"/>
      <w:lvlText w:val=""/>
      <w:lvlJc w:val="left"/>
    </w:lvl>
    <w:lvl w:ilvl="2" w:tplc="A2369776">
      <w:numFmt w:val="decimal"/>
      <w:lvlText w:val=""/>
      <w:lvlJc w:val="left"/>
    </w:lvl>
    <w:lvl w:ilvl="3" w:tplc="FDC872C4">
      <w:numFmt w:val="decimal"/>
      <w:lvlText w:val=""/>
      <w:lvlJc w:val="left"/>
    </w:lvl>
    <w:lvl w:ilvl="4" w:tplc="24F2A2E6">
      <w:numFmt w:val="decimal"/>
      <w:lvlText w:val=""/>
      <w:lvlJc w:val="left"/>
    </w:lvl>
    <w:lvl w:ilvl="5" w:tplc="C4D80418">
      <w:numFmt w:val="decimal"/>
      <w:lvlText w:val=""/>
      <w:lvlJc w:val="left"/>
    </w:lvl>
    <w:lvl w:ilvl="6" w:tplc="6B5C3BEE">
      <w:numFmt w:val="decimal"/>
      <w:lvlText w:val=""/>
      <w:lvlJc w:val="left"/>
    </w:lvl>
    <w:lvl w:ilvl="7" w:tplc="68421D50">
      <w:numFmt w:val="decimal"/>
      <w:lvlText w:val=""/>
      <w:lvlJc w:val="left"/>
    </w:lvl>
    <w:lvl w:ilvl="8" w:tplc="F850AC12">
      <w:numFmt w:val="decimal"/>
      <w:lvlText w:val=""/>
      <w:lvlJc w:val="left"/>
    </w:lvl>
  </w:abstractNum>
  <w:abstractNum w:abstractNumId="22" w15:restartNumberingAfterBreak="0">
    <w:nsid w:val="759F82CD"/>
    <w:multiLevelType w:val="hybridMultilevel"/>
    <w:tmpl w:val="E81AEF54"/>
    <w:lvl w:ilvl="0" w:tplc="035AE584">
      <w:start w:val="5"/>
      <w:numFmt w:val="decimal"/>
      <w:lvlText w:val="%1."/>
      <w:lvlJc w:val="left"/>
    </w:lvl>
    <w:lvl w:ilvl="1" w:tplc="76A87496">
      <w:numFmt w:val="decimal"/>
      <w:lvlText w:val=""/>
      <w:lvlJc w:val="left"/>
    </w:lvl>
    <w:lvl w:ilvl="2" w:tplc="1B70E9B6">
      <w:numFmt w:val="decimal"/>
      <w:lvlText w:val=""/>
      <w:lvlJc w:val="left"/>
    </w:lvl>
    <w:lvl w:ilvl="3" w:tplc="708E5D50">
      <w:numFmt w:val="decimal"/>
      <w:lvlText w:val=""/>
      <w:lvlJc w:val="left"/>
    </w:lvl>
    <w:lvl w:ilvl="4" w:tplc="570A95DC">
      <w:numFmt w:val="decimal"/>
      <w:lvlText w:val=""/>
      <w:lvlJc w:val="left"/>
    </w:lvl>
    <w:lvl w:ilvl="5" w:tplc="9478514C">
      <w:numFmt w:val="decimal"/>
      <w:lvlText w:val=""/>
      <w:lvlJc w:val="left"/>
    </w:lvl>
    <w:lvl w:ilvl="6" w:tplc="3146C286">
      <w:numFmt w:val="decimal"/>
      <w:lvlText w:val=""/>
      <w:lvlJc w:val="left"/>
    </w:lvl>
    <w:lvl w:ilvl="7" w:tplc="13DC432A">
      <w:numFmt w:val="decimal"/>
      <w:lvlText w:val=""/>
      <w:lvlJc w:val="left"/>
    </w:lvl>
    <w:lvl w:ilvl="8" w:tplc="1F58BF22">
      <w:numFmt w:val="decimal"/>
      <w:lvlText w:val=""/>
      <w:lvlJc w:val="left"/>
    </w:lvl>
  </w:abstractNum>
  <w:abstractNum w:abstractNumId="23" w15:restartNumberingAfterBreak="0">
    <w:nsid w:val="7AB49DAF"/>
    <w:multiLevelType w:val="hybridMultilevel"/>
    <w:tmpl w:val="C16035C2"/>
    <w:lvl w:ilvl="0" w:tplc="D18EACFC">
      <w:start w:val="1"/>
      <w:numFmt w:val="bullet"/>
      <w:lvlText w:val="•"/>
      <w:lvlJc w:val="left"/>
    </w:lvl>
    <w:lvl w:ilvl="1" w:tplc="E12AA99A">
      <w:numFmt w:val="decimal"/>
      <w:lvlText w:val=""/>
      <w:lvlJc w:val="left"/>
    </w:lvl>
    <w:lvl w:ilvl="2" w:tplc="E30A9C6A">
      <w:numFmt w:val="decimal"/>
      <w:lvlText w:val=""/>
      <w:lvlJc w:val="left"/>
    </w:lvl>
    <w:lvl w:ilvl="3" w:tplc="05F29134">
      <w:numFmt w:val="decimal"/>
      <w:lvlText w:val=""/>
      <w:lvlJc w:val="left"/>
    </w:lvl>
    <w:lvl w:ilvl="4" w:tplc="23C21282">
      <w:numFmt w:val="decimal"/>
      <w:lvlText w:val=""/>
      <w:lvlJc w:val="left"/>
    </w:lvl>
    <w:lvl w:ilvl="5" w:tplc="57FA8B8E">
      <w:numFmt w:val="decimal"/>
      <w:lvlText w:val=""/>
      <w:lvlJc w:val="left"/>
    </w:lvl>
    <w:lvl w:ilvl="6" w:tplc="6F1CFC46">
      <w:numFmt w:val="decimal"/>
      <w:lvlText w:val=""/>
      <w:lvlJc w:val="left"/>
    </w:lvl>
    <w:lvl w:ilvl="7" w:tplc="BA2232D4">
      <w:numFmt w:val="decimal"/>
      <w:lvlText w:val=""/>
      <w:lvlJc w:val="left"/>
    </w:lvl>
    <w:lvl w:ilvl="8" w:tplc="659EF5B6">
      <w:numFmt w:val="decimal"/>
      <w:lvlText w:val=""/>
      <w:lvlJc w:val="left"/>
    </w:lvl>
  </w:abstractNum>
  <w:abstractNum w:abstractNumId="24" w15:restartNumberingAfterBreak="0">
    <w:nsid w:val="7DFF9D09"/>
    <w:multiLevelType w:val="hybridMultilevel"/>
    <w:tmpl w:val="B470E09C"/>
    <w:lvl w:ilvl="0" w:tplc="4256571E">
      <w:start w:val="1"/>
      <w:numFmt w:val="bullet"/>
      <w:lvlText w:val="•"/>
      <w:lvlJc w:val="left"/>
    </w:lvl>
    <w:lvl w:ilvl="1" w:tplc="7744C5DE">
      <w:numFmt w:val="decimal"/>
      <w:lvlText w:val=""/>
      <w:lvlJc w:val="left"/>
    </w:lvl>
    <w:lvl w:ilvl="2" w:tplc="71540A36">
      <w:numFmt w:val="decimal"/>
      <w:lvlText w:val=""/>
      <w:lvlJc w:val="left"/>
    </w:lvl>
    <w:lvl w:ilvl="3" w:tplc="032C1D6C">
      <w:numFmt w:val="decimal"/>
      <w:lvlText w:val=""/>
      <w:lvlJc w:val="left"/>
    </w:lvl>
    <w:lvl w:ilvl="4" w:tplc="141841B6">
      <w:numFmt w:val="decimal"/>
      <w:lvlText w:val=""/>
      <w:lvlJc w:val="left"/>
    </w:lvl>
    <w:lvl w:ilvl="5" w:tplc="3F02849E">
      <w:numFmt w:val="decimal"/>
      <w:lvlText w:val=""/>
      <w:lvlJc w:val="left"/>
    </w:lvl>
    <w:lvl w:ilvl="6" w:tplc="0E9CD60C">
      <w:numFmt w:val="decimal"/>
      <w:lvlText w:val=""/>
      <w:lvlJc w:val="left"/>
    </w:lvl>
    <w:lvl w:ilvl="7" w:tplc="1C94A1B0">
      <w:numFmt w:val="decimal"/>
      <w:lvlText w:val=""/>
      <w:lvlJc w:val="left"/>
    </w:lvl>
    <w:lvl w:ilvl="8" w:tplc="730AD966">
      <w:numFmt w:val="decimal"/>
      <w:lvlText w:val=""/>
      <w:lvlJc w:val="left"/>
    </w:lvl>
  </w:abstractNum>
  <w:num w:numId="1" w16cid:durableId="1839030976">
    <w:abstractNumId w:val="13"/>
  </w:num>
  <w:num w:numId="2" w16cid:durableId="917710198">
    <w:abstractNumId w:val="1"/>
  </w:num>
  <w:num w:numId="3" w16cid:durableId="1669744895">
    <w:abstractNumId w:val="6"/>
  </w:num>
  <w:num w:numId="4" w16cid:durableId="601914546">
    <w:abstractNumId w:val="21"/>
  </w:num>
  <w:num w:numId="5" w16cid:durableId="46339054">
    <w:abstractNumId w:val="17"/>
  </w:num>
  <w:num w:numId="6" w16cid:durableId="1199734376">
    <w:abstractNumId w:val="2"/>
  </w:num>
  <w:num w:numId="7" w16cid:durableId="755858412">
    <w:abstractNumId w:val="3"/>
  </w:num>
  <w:num w:numId="8" w16cid:durableId="1373188255">
    <w:abstractNumId w:val="11"/>
  </w:num>
  <w:num w:numId="9" w16cid:durableId="2145614798">
    <w:abstractNumId w:val="14"/>
  </w:num>
  <w:num w:numId="10" w16cid:durableId="1431125093">
    <w:abstractNumId w:val="15"/>
  </w:num>
  <w:num w:numId="11" w16cid:durableId="1032271092">
    <w:abstractNumId w:val="16"/>
  </w:num>
  <w:num w:numId="12" w16cid:durableId="613827187">
    <w:abstractNumId w:val="8"/>
  </w:num>
  <w:num w:numId="13" w16cid:durableId="1850482304">
    <w:abstractNumId w:val="19"/>
  </w:num>
  <w:num w:numId="14" w16cid:durableId="1567910189">
    <w:abstractNumId w:val="7"/>
  </w:num>
  <w:num w:numId="15" w16cid:durableId="531651030">
    <w:abstractNumId w:val="9"/>
  </w:num>
  <w:num w:numId="16" w16cid:durableId="788016727">
    <w:abstractNumId w:val="5"/>
  </w:num>
  <w:num w:numId="17" w16cid:durableId="1954439499">
    <w:abstractNumId w:val="24"/>
  </w:num>
  <w:num w:numId="18" w16cid:durableId="1148395399">
    <w:abstractNumId w:val="0"/>
  </w:num>
  <w:num w:numId="19" w16cid:durableId="1188103777">
    <w:abstractNumId w:val="20"/>
  </w:num>
  <w:num w:numId="20" w16cid:durableId="1789158586">
    <w:abstractNumId w:val="10"/>
  </w:num>
  <w:num w:numId="21" w16cid:durableId="1907259170">
    <w:abstractNumId w:val="4"/>
  </w:num>
  <w:num w:numId="22" w16cid:durableId="580721434">
    <w:abstractNumId w:val="12"/>
  </w:num>
  <w:num w:numId="23" w16cid:durableId="1696812382">
    <w:abstractNumId w:val="23"/>
  </w:num>
  <w:num w:numId="24" w16cid:durableId="1176000255">
    <w:abstractNumId w:val="22"/>
  </w:num>
  <w:num w:numId="25" w16cid:durableId="7526279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CB"/>
    <w:rsid w:val="0007763D"/>
    <w:rsid w:val="0045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9A07E-5F75-4840-BF58-75F01161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s://www.ema.europa.eu/documents/template-form/appendix-v-adverse-drug-reaction-reporting-details_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4010</Words>
  <Characters>22857</Characters>
  <Application>Microsoft Office Word</Application>
  <DocSecurity>0</DocSecurity>
  <Lines>190</Lines>
  <Paragraphs>53</Paragraphs>
  <ScaleCrop>false</ScaleCrop>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2022-09-15T12:43:00Z</dcterms:created>
  <dcterms:modified xsi:type="dcterms:W3CDTF">2022-09-15T12:43:00Z</dcterms:modified>
</cp:coreProperties>
</file>