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AA7" w:rsidRPr="0042105E" w:rsidRDefault="00712AA7" w:rsidP="00712AA7">
      <w:pPr>
        <w:pageBreakBefore/>
        <w:suppressAutoHyphens/>
        <w:spacing w:line="240" w:lineRule="auto"/>
        <w:jc w:val="center"/>
        <w:rPr>
          <w:rFonts w:eastAsia="Times New Roman"/>
          <w:b/>
          <w:color w:val="000000"/>
          <w:lang w:val="lt-LT" w:eastAsia="zh-CN"/>
        </w:rPr>
      </w:pPr>
      <w:r w:rsidRPr="0042105E">
        <w:rPr>
          <w:rFonts w:eastAsia="Times New Roman"/>
          <w:b/>
          <w:color w:val="000000"/>
          <w:lang w:val="lt-LT" w:eastAsia="zh-CN"/>
        </w:rPr>
        <w:t>Pakuotės lapelis: informacija vartotojui</w:t>
      </w:r>
    </w:p>
    <w:p w:rsidR="00712AA7" w:rsidRPr="0042105E" w:rsidRDefault="00712AA7" w:rsidP="00712AA7">
      <w:pPr>
        <w:suppressAutoHyphens/>
        <w:spacing w:line="240" w:lineRule="auto"/>
        <w:rPr>
          <w:rFonts w:eastAsia="Times New Roman"/>
          <w:b/>
          <w:color w:val="000000"/>
          <w:lang w:val="lt-LT" w:eastAsia="zh-CN"/>
        </w:rPr>
      </w:pPr>
    </w:p>
    <w:p w:rsidR="00712AA7" w:rsidRPr="0042105E" w:rsidRDefault="00712AA7" w:rsidP="00712AA7">
      <w:pPr>
        <w:suppressAutoHyphens/>
        <w:spacing w:line="240" w:lineRule="auto"/>
        <w:jc w:val="center"/>
        <w:rPr>
          <w:rFonts w:eastAsia="Times New Roman"/>
          <w:b/>
          <w:bCs/>
          <w:color w:val="000000"/>
          <w:lang w:val="lt-LT" w:eastAsia="zh-CN"/>
        </w:rPr>
      </w:pPr>
      <w:r w:rsidRPr="0042105E">
        <w:rPr>
          <w:rFonts w:eastAsia="Times New Roman"/>
          <w:b/>
          <w:bCs/>
          <w:color w:val="000000"/>
          <w:lang w:val="lt-LT" w:eastAsia="zh-CN"/>
        </w:rPr>
        <w:t>FERVEX granulės geriamajam tirpalui paketėlyje vaikams</w:t>
      </w:r>
    </w:p>
    <w:p w:rsidR="00712AA7" w:rsidRPr="0042105E" w:rsidRDefault="00712AA7" w:rsidP="00712AA7">
      <w:pPr>
        <w:suppressAutoHyphens/>
        <w:spacing w:line="240" w:lineRule="auto"/>
        <w:jc w:val="center"/>
        <w:rPr>
          <w:rFonts w:eastAsia="Times New Roman"/>
          <w:color w:val="000000"/>
          <w:lang w:val="lt-LT" w:eastAsia="zh-CN"/>
        </w:rPr>
      </w:pPr>
      <w:r w:rsidRPr="0042105E">
        <w:rPr>
          <w:rFonts w:eastAsia="Times New Roman"/>
          <w:color w:val="000000"/>
          <w:lang w:val="lt-LT" w:eastAsia="zh-CN"/>
        </w:rPr>
        <w:t>paracetamolis, feniramino maleatas, askorbo rūgštis</w:t>
      </w:r>
    </w:p>
    <w:p w:rsidR="00712AA7" w:rsidRPr="0042105E" w:rsidRDefault="00712AA7" w:rsidP="00712AA7">
      <w:pPr>
        <w:suppressAutoHyphens/>
        <w:spacing w:line="240" w:lineRule="auto"/>
        <w:rPr>
          <w:rFonts w:eastAsia="Times New Roman"/>
          <w:b/>
          <w:color w:val="000000"/>
          <w:lang w:val="lt-LT" w:eastAsia="zh-CN"/>
        </w:rPr>
      </w:pPr>
    </w:p>
    <w:p w:rsidR="00712AA7" w:rsidRPr="0042105E" w:rsidRDefault="00712AA7" w:rsidP="00712AA7">
      <w:pPr>
        <w:suppressAutoHyphens/>
        <w:spacing w:line="240" w:lineRule="auto"/>
        <w:ind w:right="-2"/>
        <w:rPr>
          <w:rFonts w:eastAsia="Times New Roman"/>
          <w:b/>
          <w:color w:val="000000"/>
          <w:lang w:val="lt-LT" w:eastAsia="zh-CN"/>
        </w:rPr>
      </w:pPr>
      <w:r w:rsidRPr="0042105E">
        <w:rPr>
          <w:rFonts w:eastAsia="Times New Roman"/>
          <w:b/>
          <w:color w:val="000000"/>
          <w:lang w:val="lt-LT" w:eastAsia="zh-CN"/>
        </w:rPr>
        <w:t>Atidžiai perskaitykite visą šį lapelį, prieš pradėdami vartoti šį vaistą, nes jame pateikiama Jums svarbi informacija.</w:t>
      </w:r>
    </w:p>
    <w:p w:rsidR="00712AA7" w:rsidRPr="0042105E" w:rsidRDefault="00712AA7" w:rsidP="00712AA7">
      <w:pPr>
        <w:suppressAutoHyphens/>
        <w:spacing w:line="240" w:lineRule="auto"/>
        <w:rPr>
          <w:rFonts w:eastAsia="Times New Roman"/>
          <w:color w:val="000000"/>
          <w:lang w:val="lt-LT" w:eastAsia="zh-CN"/>
        </w:rPr>
      </w:pPr>
      <w:r w:rsidRPr="0042105E">
        <w:rPr>
          <w:rFonts w:eastAsia="Times New Roman"/>
          <w:color w:val="000000"/>
          <w:lang w:val="lt-LT" w:eastAsia="zh-CN"/>
        </w:rPr>
        <w:t>Visada vartokite šį vaistą tiksliai kaip aprašyta šiame lapelyje arba kaip nurodė gydytojas arba vaistininkas.</w:t>
      </w:r>
    </w:p>
    <w:p w:rsidR="00712AA7"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Neišmeskite šio lapelio, nes vėl gali prireikti jį perskaityti.</w:t>
      </w:r>
    </w:p>
    <w:p w:rsidR="00712AA7" w:rsidRPr="0042105E"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Jeigu norite sužinoti daugiau arba pasitarti, kreipkitės į vaistininką.</w:t>
      </w:r>
    </w:p>
    <w:p w:rsidR="00712AA7"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Jeigu pasireiškė šalutinis poveikis (net jeigu jis šiame lapelyje nenurodytas), kreipkitės į gydytoją arba vaistininką.</w:t>
      </w:r>
    </w:p>
    <w:p w:rsidR="00712AA7" w:rsidRPr="0042105E"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Jeigu per 3 dienas Jūsų vaiko savijauta nepagerėjo arba net pablogėjo, kreipkitės į gydytoją.</w:t>
      </w:r>
    </w:p>
    <w:p w:rsidR="00712AA7" w:rsidRPr="0042105E" w:rsidRDefault="00712AA7" w:rsidP="00712AA7">
      <w:pPr>
        <w:suppressAutoHyphens/>
        <w:spacing w:line="240" w:lineRule="auto"/>
        <w:rPr>
          <w:rFonts w:eastAsia="Times New Roman"/>
          <w:b/>
          <w:color w:val="000000"/>
          <w:lang w:val="lt-LT" w:eastAsia="zh-CN"/>
        </w:rPr>
      </w:pPr>
    </w:p>
    <w:p w:rsidR="00712AA7" w:rsidRPr="0042105E" w:rsidRDefault="00712AA7" w:rsidP="00712AA7">
      <w:pPr>
        <w:suppressAutoHyphens/>
        <w:spacing w:line="240" w:lineRule="auto"/>
        <w:ind w:left="567" w:hanging="567"/>
        <w:rPr>
          <w:rFonts w:eastAsia="Times New Roman"/>
          <w:b/>
          <w:color w:val="000000"/>
          <w:lang w:val="lt-LT" w:eastAsia="zh-CN"/>
        </w:rPr>
      </w:pPr>
      <w:r w:rsidRPr="0042105E">
        <w:rPr>
          <w:rFonts w:eastAsia="Times New Roman"/>
          <w:b/>
          <w:color w:val="000000"/>
          <w:lang w:val="lt-LT" w:eastAsia="zh-CN"/>
        </w:rPr>
        <w:t>Apie ką rašoma šiame lapelyje?</w:t>
      </w:r>
    </w:p>
    <w:p w:rsidR="00712AA7" w:rsidRPr="0042105E" w:rsidRDefault="00712AA7" w:rsidP="00712AA7">
      <w:pPr>
        <w:suppressAutoHyphens/>
        <w:spacing w:line="240" w:lineRule="auto"/>
        <w:ind w:left="567" w:hanging="567"/>
        <w:rPr>
          <w:rFonts w:eastAsia="Times New Roman"/>
          <w:b/>
          <w:color w:val="000000"/>
          <w:lang w:val="lt-LT" w:eastAsia="zh-CN"/>
        </w:rPr>
      </w:pPr>
    </w:p>
    <w:p w:rsidR="00712AA7" w:rsidRPr="0042105E" w:rsidRDefault="00712AA7" w:rsidP="00712AA7">
      <w:pPr>
        <w:suppressAutoHyphens/>
        <w:spacing w:line="240" w:lineRule="auto"/>
        <w:ind w:left="567" w:hanging="567"/>
        <w:rPr>
          <w:rFonts w:eastAsia="Times New Roman"/>
          <w:color w:val="000000"/>
          <w:lang w:val="lt-LT" w:eastAsia="zh-CN"/>
        </w:rPr>
      </w:pPr>
      <w:r w:rsidRPr="0042105E">
        <w:rPr>
          <w:rFonts w:eastAsia="Times New Roman"/>
          <w:color w:val="000000"/>
          <w:lang w:val="lt-LT" w:eastAsia="zh-CN"/>
        </w:rPr>
        <w:t>1.</w:t>
      </w:r>
      <w:r w:rsidRPr="0042105E">
        <w:rPr>
          <w:rFonts w:eastAsia="Times New Roman"/>
          <w:color w:val="000000"/>
          <w:lang w:val="lt-LT" w:eastAsia="zh-CN"/>
        </w:rPr>
        <w:tab/>
        <w:t>Kas yra FERVEX ir kam jis vartojamas</w:t>
      </w:r>
    </w:p>
    <w:p w:rsidR="00712AA7" w:rsidRPr="0042105E" w:rsidRDefault="00712AA7" w:rsidP="00712AA7">
      <w:pPr>
        <w:suppressAutoHyphens/>
        <w:spacing w:line="240" w:lineRule="auto"/>
        <w:ind w:left="567" w:hanging="567"/>
        <w:rPr>
          <w:rFonts w:eastAsia="Times New Roman"/>
          <w:color w:val="000000"/>
          <w:lang w:val="lt-LT" w:eastAsia="zh-CN"/>
        </w:rPr>
      </w:pPr>
      <w:r w:rsidRPr="0042105E">
        <w:rPr>
          <w:rFonts w:eastAsia="Times New Roman"/>
          <w:color w:val="000000"/>
          <w:lang w:val="lt-LT" w:eastAsia="zh-CN"/>
        </w:rPr>
        <w:t>2.</w:t>
      </w:r>
      <w:r w:rsidRPr="0042105E">
        <w:rPr>
          <w:rFonts w:eastAsia="Times New Roman"/>
          <w:color w:val="000000"/>
          <w:lang w:val="lt-LT" w:eastAsia="zh-CN"/>
        </w:rPr>
        <w:tab/>
        <w:t>Kas žinotina prieš vartojant FERVEX</w:t>
      </w:r>
    </w:p>
    <w:p w:rsidR="00712AA7" w:rsidRPr="0042105E" w:rsidRDefault="00712AA7" w:rsidP="00712AA7">
      <w:pPr>
        <w:suppressAutoHyphens/>
        <w:spacing w:line="240" w:lineRule="auto"/>
        <w:ind w:left="567" w:hanging="567"/>
        <w:rPr>
          <w:rFonts w:eastAsia="Times New Roman"/>
          <w:color w:val="000000"/>
          <w:lang w:val="lt-LT" w:eastAsia="zh-CN"/>
        </w:rPr>
      </w:pPr>
      <w:r w:rsidRPr="0042105E">
        <w:rPr>
          <w:rFonts w:eastAsia="Times New Roman"/>
          <w:color w:val="000000"/>
          <w:lang w:val="lt-LT" w:eastAsia="zh-CN"/>
        </w:rPr>
        <w:t>3.</w:t>
      </w:r>
      <w:r w:rsidRPr="0042105E">
        <w:rPr>
          <w:rFonts w:eastAsia="Times New Roman"/>
          <w:color w:val="000000"/>
          <w:lang w:val="lt-LT" w:eastAsia="zh-CN"/>
        </w:rPr>
        <w:tab/>
        <w:t>Kaip vartoti FERVEX</w:t>
      </w:r>
    </w:p>
    <w:p w:rsidR="00712AA7" w:rsidRPr="0042105E" w:rsidRDefault="00712AA7" w:rsidP="00712AA7">
      <w:pPr>
        <w:suppressAutoHyphens/>
        <w:spacing w:line="240" w:lineRule="auto"/>
        <w:ind w:left="567" w:hanging="567"/>
        <w:rPr>
          <w:rFonts w:eastAsia="Times New Roman"/>
          <w:color w:val="000000"/>
          <w:lang w:val="lt-LT" w:eastAsia="zh-CN"/>
        </w:rPr>
      </w:pPr>
      <w:r w:rsidRPr="0042105E">
        <w:rPr>
          <w:rFonts w:eastAsia="Times New Roman"/>
          <w:color w:val="000000"/>
          <w:lang w:val="lt-LT" w:eastAsia="zh-CN"/>
        </w:rPr>
        <w:t>4.</w:t>
      </w:r>
      <w:r w:rsidRPr="0042105E">
        <w:rPr>
          <w:rFonts w:eastAsia="Times New Roman"/>
          <w:color w:val="000000"/>
          <w:lang w:val="lt-LT" w:eastAsia="zh-CN"/>
        </w:rPr>
        <w:tab/>
        <w:t>Galimas šalutinis poveikis</w:t>
      </w:r>
    </w:p>
    <w:p w:rsidR="00712AA7" w:rsidRPr="0042105E" w:rsidRDefault="00712AA7" w:rsidP="00712AA7">
      <w:pPr>
        <w:suppressAutoHyphens/>
        <w:spacing w:line="240" w:lineRule="auto"/>
        <w:ind w:left="567" w:hanging="567"/>
        <w:rPr>
          <w:rFonts w:eastAsia="Times New Roman"/>
          <w:color w:val="000000"/>
          <w:lang w:val="lt-LT" w:eastAsia="zh-CN"/>
        </w:rPr>
      </w:pPr>
      <w:r w:rsidRPr="0042105E">
        <w:rPr>
          <w:rFonts w:eastAsia="Times New Roman"/>
          <w:color w:val="000000"/>
          <w:lang w:val="lt-LT" w:eastAsia="zh-CN"/>
        </w:rPr>
        <w:t>5.</w:t>
      </w:r>
      <w:r w:rsidRPr="0042105E">
        <w:rPr>
          <w:rFonts w:eastAsia="Times New Roman"/>
          <w:color w:val="000000"/>
          <w:lang w:val="lt-LT" w:eastAsia="zh-CN"/>
        </w:rPr>
        <w:tab/>
        <w:t>Kaip laikyti FERVEX</w:t>
      </w:r>
    </w:p>
    <w:p w:rsidR="00712AA7" w:rsidRPr="0042105E" w:rsidRDefault="00712AA7" w:rsidP="00712AA7">
      <w:pPr>
        <w:suppressAutoHyphens/>
        <w:spacing w:line="240" w:lineRule="auto"/>
        <w:ind w:left="567" w:hanging="567"/>
        <w:rPr>
          <w:rFonts w:eastAsia="Times New Roman"/>
          <w:color w:val="000000"/>
          <w:lang w:val="lt-LT" w:eastAsia="zh-CN"/>
        </w:rPr>
      </w:pPr>
      <w:r w:rsidRPr="0042105E">
        <w:rPr>
          <w:rFonts w:eastAsia="Times New Roman"/>
          <w:color w:val="000000"/>
          <w:lang w:val="lt-LT" w:eastAsia="zh-CN"/>
        </w:rPr>
        <w:t>6.</w:t>
      </w:r>
      <w:r w:rsidRPr="0042105E">
        <w:rPr>
          <w:rFonts w:eastAsia="Times New Roman"/>
          <w:color w:val="000000"/>
          <w:lang w:val="lt-LT" w:eastAsia="zh-CN"/>
        </w:rPr>
        <w:tab/>
        <w:t>Pakuotės turinys ir kita informacija</w:t>
      </w: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keepNext/>
        <w:numPr>
          <w:ilvl w:val="1"/>
          <w:numId w:val="0"/>
        </w:numPr>
        <w:tabs>
          <w:tab w:val="num" w:pos="0"/>
        </w:tabs>
        <w:suppressAutoHyphens/>
        <w:spacing w:line="240" w:lineRule="auto"/>
        <w:ind w:left="576" w:hanging="576"/>
        <w:outlineLvl w:val="1"/>
        <w:rPr>
          <w:rFonts w:eastAsia="Times New Roman"/>
          <w:b/>
          <w:color w:val="000000"/>
          <w:lang w:val="lt-LT" w:eastAsia="zh-CN"/>
        </w:rPr>
      </w:pPr>
      <w:r w:rsidRPr="0042105E">
        <w:rPr>
          <w:rFonts w:eastAsia="Times New Roman"/>
          <w:b/>
          <w:color w:val="000000"/>
          <w:lang w:val="lt-LT" w:eastAsia="zh-CN"/>
        </w:rPr>
        <w:t>1.</w:t>
      </w:r>
      <w:r w:rsidRPr="0042105E">
        <w:rPr>
          <w:rFonts w:eastAsia="Times New Roman"/>
          <w:b/>
          <w:color w:val="000000"/>
          <w:lang w:val="lt-LT" w:eastAsia="zh-CN"/>
        </w:rPr>
        <w:tab/>
        <w:t>Kas yra FERVEX ir kam jis vartojamas</w:t>
      </w: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suppressAutoHyphens/>
        <w:spacing w:line="240" w:lineRule="auto"/>
        <w:rPr>
          <w:rFonts w:eastAsia="Times New Roman"/>
          <w:lang w:val="lt-LT" w:eastAsia="zh-CN"/>
        </w:rPr>
      </w:pPr>
      <w:r w:rsidRPr="0042105E">
        <w:rPr>
          <w:rFonts w:eastAsia="Times New Roman"/>
          <w:lang w:val="lt-LT" w:eastAsia="zh-CN"/>
        </w:rPr>
        <w:t>FERVEX sudėtyje yra 3 veikliosios medžiagos:</w:t>
      </w:r>
    </w:p>
    <w:p w:rsidR="00712AA7" w:rsidRPr="0042105E"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paracetamolis, kuris malšina skausmą ir mažina karščiavimą;</w:t>
      </w:r>
    </w:p>
    <w:p w:rsidR="00712AA7" w:rsidRPr="0042105E"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feniramino maleatas, kuris mažina nosies sekreciją, ašarojimą ir slopina čiaudulio priepuolius;</w:t>
      </w:r>
    </w:p>
    <w:p w:rsidR="00712AA7" w:rsidRPr="0042105E" w:rsidRDefault="00712AA7" w:rsidP="00712AA7">
      <w:pPr>
        <w:numPr>
          <w:ilvl w:val="0"/>
          <w:numId w:val="1"/>
        </w:numPr>
        <w:suppressAutoHyphens/>
        <w:spacing w:after="0" w:line="240" w:lineRule="auto"/>
        <w:ind w:left="567" w:hanging="567"/>
        <w:contextualSpacing/>
        <w:rPr>
          <w:rFonts w:eastAsia="Times New Roman"/>
          <w:lang w:val="lt-LT" w:eastAsia="zh-CN"/>
        </w:rPr>
      </w:pPr>
      <w:r w:rsidRPr="0042105E">
        <w:rPr>
          <w:rFonts w:eastAsia="Times New Roman"/>
          <w:lang w:val="lt-LT" w:eastAsia="zh-CN"/>
        </w:rPr>
        <w:t>askorbo rūgštis, kuri patenkina sergant peršalimo ligomis ir karščiuojant padidėjusį jos poreikį.</w:t>
      </w: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suppressAutoHyphens/>
        <w:spacing w:line="240" w:lineRule="auto"/>
        <w:rPr>
          <w:rFonts w:eastAsia="Times New Roman"/>
          <w:color w:val="000000"/>
          <w:lang w:val="lt-LT" w:eastAsia="zh-CN"/>
        </w:rPr>
      </w:pPr>
      <w:r w:rsidRPr="0042105E">
        <w:rPr>
          <w:rFonts w:eastAsia="Times New Roman"/>
          <w:lang w:val="lt-LT" w:eastAsia="zh-CN"/>
        </w:rPr>
        <w:t>FERVEX vartojamas trumpalaikiams ūminių peršalimo ligų simptomams (karščiavimui, nosies gleivinės paburkimui, skausmui) lengvinti vaikams ir paaugliams nuo 6 iki 15 metų.</w:t>
      </w: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suppressAutoHyphens/>
        <w:spacing w:line="240" w:lineRule="auto"/>
        <w:rPr>
          <w:rFonts w:eastAsia="Times New Roman"/>
          <w:color w:val="000000"/>
          <w:lang w:val="lt-LT" w:eastAsia="zh-CN"/>
        </w:rPr>
      </w:pPr>
      <w:r w:rsidRPr="0042105E">
        <w:rPr>
          <w:rFonts w:eastAsia="Times New Roman"/>
          <w:color w:val="000000"/>
          <w:lang w:val="lt-LT" w:eastAsia="zh-CN"/>
        </w:rPr>
        <w:t>Jeigu per 3 dienas Jūsų vaiko savijauta nepagerėjo arba net pablogėjo, kreipkitės į gydytoją.</w:t>
      </w: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suppressAutoHyphens/>
        <w:spacing w:line="240" w:lineRule="auto"/>
        <w:rPr>
          <w:rFonts w:eastAsia="Times New Roman"/>
          <w:color w:val="000000"/>
          <w:lang w:val="lt-LT" w:eastAsia="zh-CN"/>
        </w:rPr>
      </w:pPr>
    </w:p>
    <w:p w:rsidR="00712AA7" w:rsidRPr="0042105E" w:rsidRDefault="00712AA7" w:rsidP="00712AA7">
      <w:pPr>
        <w:keepNext/>
        <w:numPr>
          <w:ilvl w:val="1"/>
          <w:numId w:val="0"/>
        </w:numPr>
        <w:tabs>
          <w:tab w:val="num" w:pos="0"/>
        </w:tabs>
        <w:suppressAutoHyphens/>
        <w:spacing w:line="240" w:lineRule="auto"/>
        <w:ind w:left="576" w:hanging="576"/>
        <w:outlineLvl w:val="1"/>
        <w:rPr>
          <w:rFonts w:eastAsia="Times New Roman"/>
          <w:b/>
          <w:color w:val="000000"/>
          <w:lang w:val="lt-LT" w:eastAsia="zh-CN"/>
        </w:rPr>
      </w:pPr>
      <w:r w:rsidRPr="0042105E">
        <w:rPr>
          <w:rFonts w:eastAsia="Times New Roman"/>
          <w:b/>
          <w:color w:val="000000"/>
          <w:lang w:val="lt-LT" w:eastAsia="zh-CN"/>
        </w:rPr>
        <w:t>2.</w:t>
      </w:r>
      <w:r w:rsidRPr="0042105E">
        <w:rPr>
          <w:rFonts w:eastAsia="Times New Roman"/>
          <w:b/>
          <w:color w:val="000000"/>
          <w:lang w:val="lt-LT" w:eastAsia="zh-CN"/>
        </w:rPr>
        <w:tab/>
        <w:t>Kas žinotina prieš vartojant FERVEX</w:t>
      </w:r>
    </w:p>
    <w:p w:rsidR="00712AA7" w:rsidRPr="0042105E" w:rsidRDefault="00712AA7" w:rsidP="00712AA7">
      <w:pPr>
        <w:suppressAutoHyphens/>
        <w:spacing w:line="240" w:lineRule="auto"/>
        <w:rPr>
          <w:rFonts w:eastAsia="Times New Roman"/>
          <w:color w:val="000000"/>
          <w:lang w:val="lt-LT" w:eastAsia="zh-CN"/>
        </w:rPr>
      </w:pPr>
    </w:p>
    <w:p w:rsidR="00712AA7" w:rsidRPr="00B92CD7"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42105E">
        <w:rPr>
          <w:rFonts w:eastAsia="Times New Roman"/>
          <w:b/>
          <w:color w:val="000000"/>
          <w:lang w:val="lt-LT" w:eastAsia="zh-CN"/>
        </w:rPr>
        <w:t>FERVEX vartoti draudžiama</w:t>
      </w:r>
      <w:r w:rsidRPr="00864D02">
        <w:rPr>
          <w:rFonts w:eastAsia="Times New Roman"/>
          <w:b/>
          <w:color w:val="000000"/>
          <w:lang w:val="lt-LT" w:eastAsia="zh-CN"/>
        </w:rPr>
        <w:t>:</w:t>
      </w:r>
    </w:p>
    <w:p w:rsidR="00712AA7" w:rsidRPr="00B92CD7" w:rsidRDefault="00712AA7" w:rsidP="00712AA7">
      <w:pPr>
        <w:numPr>
          <w:ilvl w:val="0"/>
          <w:numId w:val="1"/>
        </w:numPr>
        <w:suppressAutoHyphens/>
        <w:spacing w:after="0" w:line="240" w:lineRule="auto"/>
        <w:ind w:left="709" w:hanging="709"/>
        <w:contextualSpacing/>
        <w:rPr>
          <w:rFonts w:eastAsia="Times New Roman"/>
          <w:lang w:val="lt-LT" w:eastAsia="zh-CN"/>
        </w:rPr>
      </w:pPr>
      <w:r w:rsidRPr="00B92CD7">
        <w:rPr>
          <w:rFonts w:eastAsia="Times New Roman"/>
          <w:lang w:val="lt-LT" w:eastAsia="zh-CN"/>
        </w:rPr>
        <w:t xml:space="preserve">jeigu yra alergija </w:t>
      </w:r>
      <w:r w:rsidRPr="005541AA">
        <w:t>bet kuriai veikliajai arba</w:t>
      </w:r>
      <w:r w:rsidRPr="00B92CD7">
        <w:rPr>
          <w:rFonts w:eastAsia="Times New Roman"/>
          <w:lang w:val="lt-LT" w:eastAsia="zh-CN"/>
        </w:rPr>
        <w:t xml:space="preserve"> arba bet kuriai pagalbinei šio vaisto medžiagai (jos išvardytos 6 skyriuje);</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jeigu Jūsų vaikas serga sunkia kepenų liga;</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jeigu Jūsų vaikas serga aktyvia kepenų liga;</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jeigu padidėjęs spaudimas vienoje arba abejose Jūsų vaiko akyse (sergate uždarojo kampo glaukoma);</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jeigu sunk</w:t>
      </w:r>
      <w:r w:rsidRPr="006A041B">
        <w:rPr>
          <w:rFonts w:eastAsia="Times New Roman"/>
          <w:lang w:val="lt-LT" w:eastAsia="zh-CN"/>
        </w:rPr>
        <w:t>u šlapintis (dėl padidėjusios prostatos ar kitų prostatos problemų);</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6A041B">
        <w:rPr>
          <w:rFonts w:eastAsia="Times New Roman"/>
          <w:lang w:val="lt-LT" w:eastAsia="zh-CN"/>
        </w:rPr>
        <w:t>jeigu sutrikęs maisto patekimas iš Jūsų vaiko skrandžio į žarnyną;</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6A041B">
        <w:rPr>
          <w:rFonts w:eastAsia="Times New Roman"/>
          <w:color w:val="000000"/>
          <w:lang w:val="lt-LT" w:eastAsia="zh-CN"/>
        </w:rPr>
        <w:t>jaunesniems kaip 6 metų vaikams</w:t>
      </w:r>
      <w:r w:rsidRPr="006A041B">
        <w:rPr>
          <w:rFonts w:eastAsia="Times New Roman"/>
          <w:lang w:val="lt-LT" w:eastAsia="zh-CN"/>
        </w:rPr>
        <w:t>.</w:t>
      </w:r>
    </w:p>
    <w:p w:rsidR="00712AA7" w:rsidRPr="00B92CD7" w:rsidRDefault="00712AA7" w:rsidP="00712AA7">
      <w:pPr>
        <w:suppressAutoHyphens/>
        <w:spacing w:line="240" w:lineRule="auto"/>
        <w:rPr>
          <w:rFonts w:eastAsia="Times New Roman"/>
          <w:b/>
          <w:color w:val="000000"/>
          <w:lang w:val="lt-LT" w:eastAsia="zh-CN"/>
        </w:rPr>
      </w:pPr>
    </w:p>
    <w:p w:rsidR="00712AA7" w:rsidRPr="005541AA"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B92CD7">
        <w:rPr>
          <w:rFonts w:eastAsia="Times New Roman"/>
          <w:b/>
          <w:color w:val="000000"/>
          <w:lang w:val="lt-LT" w:eastAsia="zh-CN"/>
        </w:rPr>
        <w:t>Įspėjimai ir atsargumo priemonės</w:t>
      </w:r>
    </w:p>
    <w:p w:rsidR="00712AA7" w:rsidRPr="005541AA" w:rsidRDefault="00712AA7" w:rsidP="00712AA7">
      <w:pPr>
        <w:suppressAutoHyphens/>
        <w:spacing w:line="240" w:lineRule="auto"/>
        <w:rPr>
          <w:rFonts w:eastAsia="Times New Roman"/>
          <w:color w:val="000000"/>
          <w:lang w:val="lt-LT" w:eastAsia="zh-CN"/>
        </w:rPr>
      </w:pPr>
      <w:r w:rsidRPr="005541AA">
        <w:rPr>
          <w:rFonts w:eastAsia="Times New Roman"/>
          <w:color w:val="000000"/>
          <w:lang w:val="lt-LT" w:eastAsia="zh-CN"/>
        </w:rPr>
        <w:t>Pasitarkite su gydytoju arba vaistininku, prieš duodami vaikui FERVEX:</w:t>
      </w:r>
    </w:p>
    <w:p w:rsidR="00712AA7" w:rsidRPr="00B92CD7"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jeigu Jūsų vaikas serga Žilberto sindromu (šeimine kepenų liga);</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B92CD7">
        <w:rPr>
          <w:rFonts w:eastAsia="Times New Roman"/>
          <w:lang w:val="lt-LT" w:eastAsia="zh-CN"/>
        </w:rPr>
        <w:t xml:space="preserve">jeigu </w:t>
      </w:r>
      <w:r w:rsidRPr="005541AA">
        <w:rPr>
          <w:rFonts w:eastAsia="Times New Roman"/>
          <w:lang w:val="lt-LT" w:eastAsia="zh-CN"/>
        </w:rPr>
        <w:t>Jūsų vaikas vartoja kitų vaistų, kurių sudėtyje yra paracetamolio (įskaitant nereceptinius);</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 xml:space="preserve">jeigu Jūsų vaikas serga </w:t>
      </w:r>
      <w:r w:rsidRPr="005541AA">
        <w:rPr>
          <w:lang w:val="lt-LT"/>
        </w:rPr>
        <w:t xml:space="preserve">kepenų arba </w:t>
      </w:r>
      <w:r w:rsidRPr="006A041B">
        <w:rPr>
          <w:rFonts w:eastAsia="Times New Roman"/>
          <w:lang w:val="lt-LT" w:eastAsia="zh-CN"/>
        </w:rPr>
        <w:t>inkstų liga;</w:t>
      </w:r>
    </w:p>
    <w:p w:rsidR="00712AA7" w:rsidRPr="005541AA" w:rsidRDefault="00712AA7" w:rsidP="00712AA7">
      <w:pPr>
        <w:pStyle w:val="ListParagraph"/>
        <w:numPr>
          <w:ilvl w:val="0"/>
          <w:numId w:val="1"/>
        </w:numPr>
        <w:tabs>
          <w:tab w:val="clear" w:pos="567"/>
        </w:tabs>
        <w:suppressAutoHyphens/>
        <w:spacing w:line="240" w:lineRule="auto"/>
        <w:ind w:left="709" w:hanging="709"/>
        <w:rPr>
          <w:szCs w:val="22"/>
        </w:rPr>
      </w:pPr>
      <w:r w:rsidRPr="00B92CD7">
        <w:rPr>
          <w:szCs w:val="22"/>
        </w:rPr>
        <w:t>jeigu Jūs</w:t>
      </w:r>
      <w:r w:rsidRPr="005541AA">
        <w:rPr>
          <w:szCs w:val="22"/>
        </w:rPr>
        <w:t>ų vaikas piktnaudžiauja alkoholiniais gėrimais;</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jeigu Jūsų vaiką vargina apetito stoka arba jis ilgai nepakankamai maitinasi</w:t>
      </w:r>
      <w:r w:rsidRPr="006A041B">
        <w:rPr>
          <w:rFonts w:eastAsia="Times New Roman"/>
          <w:lang w:val="lt-LT" w:eastAsia="zh-CN"/>
        </w:rPr>
        <w:t xml:space="preserve"> (glutationo atsargos kepenyse būna mažos);</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jeigu Jūsų vaiko organizme sumažėjęs skysčių kiekis;</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jeigu Jūsų vaikas serga epilepsija;</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jeigu Jūsų vaiko organizme sutrikusi geležies apykaita;</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jeigu Jūsų vaikas turi polinkį susidaryti akmenims šlapimo takuose;</w:t>
      </w:r>
    </w:p>
    <w:p w:rsidR="00712AA7" w:rsidRPr="00B92CD7"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jeigu Jūsų vaikui acetilsalicilo rūgštis buvo sukėlusi bronchų spazmo (dusulio) priepuolį (tuomet jį gali sukelti ir paracetamolis);</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B92CD7">
        <w:rPr>
          <w:rFonts w:eastAsia="Times New Roman"/>
          <w:lang w:val="lt-LT" w:eastAsia="zh-CN"/>
        </w:rPr>
        <w:t>jeigu Jūsų vaikas serga ūminiu viru</w:t>
      </w:r>
      <w:r w:rsidRPr="005541AA">
        <w:rPr>
          <w:rFonts w:eastAsia="Times New Roman"/>
          <w:lang w:val="lt-LT" w:eastAsia="zh-CN"/>
        </w:rPr>
        <w:t>siniu hepatitu arba jeigu vartojant FERVEX pasireiškė ūminis virusinis hepatitas (gydytojas gali patarti nutraukti šio vaisto vartojimą).</w:t>
      </w:r>
    </w:p>
    <w:p w:rsidR="00712AA7" w:rsidRPr="005541AA" w:rsidRDefault="00712AA7" w:rsidP="00712AA7">
      <w:pPr>
        <w:suppressAutoHyphens/>
        <w:spacing w:line="240" w:lineRule="auto"/>
        <w:rPr>
          <w:lang w:val="lt-LT"/>
        </w:rPr>
      </w:pPr>
    </w:p>
    <w:p w:rsidR="00712AA7" w:rsidRPr="0079162D" w:rsidRDefault="00712AA7" w:rsidP="00712AA7">
      <w:pPr>
        <w:suppressAutoHyphens/>
        <w:spacing w:line="240" w:lineRule="auto"/>
      </w:pPr>
      <w:r w:rsidRPr="006A041B">
        <w:rPr>
          <w:lang w:val="lt-LT"/>
        </w:rPr>
        <w:t xml:space="preserve">Askorbo rūgšties reikia vartoti atsargiai, jeigu sutrikęs geležies metabolizmas arba trūksta </w:t>
      </w:r>
      <w:r w:rsidRPr="0079162D">
        <w:rPr>
          <w:rFonts w:eastAsia="Times New Roman"/>
          <w:iCs/>
          <w:color w:val="000000"/>
          <w:lang w:val="lt-LT" w:eastAsia="zh-CN"/>
        </w:rPr>
        <w:t>fermento</w:t>
      </w:r>
      <w:r w:rsidRPr="0079162D">
        <w:rPr>
          <w:lang w:val="lt-LT"/>
        </w:rPr>
        <w:t xml:space="preserve"> – gliukozės 6-fosfato dehidrogenazės (gali pasireikšti mažakraujystė dėl raudonųjų kraujo kūnelio irimo).</w:t>
      </w:r>
    </w:p>
    <w:p w:rsidR="00712AA7" w:rsidRPr="0079162D" w:rsidRDefault="00712AA7" w:rsidP="00712AA7">
      <w:pPr>
        <w:suppressAutoHyphens/>
        <w:spacing w:line="240" w:lineRule="auto"/>
        <w:rPr>
          <w:rFonts w:eastAsia="Times New Roman"/>
          <w:color w:val="000000"/>
          <w:lang w:val="lt-LT" w:eastAsia="zh-CN"/>
        </w:rPr>
      </w:pPr>
    </w:p>
    <w:p w:rsidR="00712AA7" w:rsidRPr="0079162D" w:rsidRDefault="00712AA7" w:rsidP="00712AA7">
      <w:pPr>
        <w:pStyle w:val="BodyText"/>
        <w:pBdr>
          <w:top w:val="single" w:sz="4" w:space="1" w:color="auto"/>
          <w:left w:val="single" w:sz="4" w:space="4" w:color="auto"/>
          <w:bottom w:val="single" w:sz="4" w:space="1" w:color="auto"/>
          <w:right w:val="single" w:sz="4" w:space="4" w:color="auto"/>
        </w:pBdr>
        <w:spacing w:after="0"/>
        <w:rPr>
          <w:color w:val="000000"/>
          <w:szCs w:val="22"/>
          <w:lang w:eastAsia="en-US"/>
        </w:rPr>
      </w:pPr>
      <w:r w:rsidRPr="0079162D">
        <w:rPr>
          <w:color w:val="000000"/>
          <w:szCs w:val="22"/>
          <w:lang w:eastAsia="en-US"/>
        </w:rPr>
        <w:t>Jeigu Jūsų vaikas netyčia išgertų per didelę šio vaisto dozę, nedelsdami kreipkitės į gydytoją.</w:t>
      </w:r>
      <w:r w:rsidRPr="0079162D">
        <w:rPr>
          <w:b/>
          <w:bCs/>
          <w:color w:val="000000"/>
          <w:szCs w:val="22"/>
          <w:lang w:eastAsia="en-US"/>
        </w:rPr>
        <w:t xml:space="preserve"> Šio vaisto sudėtyje yra paracetamolio. Jo yra ir kitų vaistų, įskaitant nereceptinius, sudėtyje. Neduokite jų vaikui, kad neviršytumėte rekomenduojamos paros dozės.</w:t>
      </w:r>
      <w:r w:rsidRPr="0079162D">
        <w:rPr>
          <w:color w:val="000000"/>
          <w:szCs w:val="22"/>
          <w:lang w:eastAsia="en-US"/>
        </w:rPr>
        <w:t xml:space="preserve"> Jeigu Jūsų vaikui reikia vartoti kitų vaistų, kurių sudėtyje yra tokių pačių veikliųjų medžiagų kaip šio, pasikonsultuokite su gydytoju arba vaistininku.</w:t>
      </w:r>
    </w:p>
    <w:p w:rsidR="00712AA7" w:rsidRPr="0079162D" w:rsidRDefault="00712AA7" w:rsidP="00712AA7">
      <w:pPr>
        <w:pStyle w:val="BodyText"/>
        <w:spacing w:after="0"/>
        <w:rPr>
          <w:color w:val="000000"/>
          <w:szCs w:val="22"/>
          <w:lang w:eastAsia="en-US"/>
        </w:rPr>
      </w:pPr>
    </w:p>
    <w:p w:rsidR="00712AA7" w:rsidRPr="0042105E" w:rsidRDefault="00712AA7" w:rsidP="00712AA7">
      <w:pPr>
        <w:pStyle w:val="BodyText"/>
        <w:spacing w:after="0"/>
        <w:rPr>
          <w:color w:val="000000"/>
          <w:szCs w:val="22"/>
          <w:lang w:eastAsia="en-US"/>
        </w:rPr>
      </w:pPr>
      <w:r w:rsidRPr="0079162D">
        <w:rPr>
          <w:color w:val="000000"/>
          <w:szCs w:val="22"/>
          <w:lang w:eastAsia="en-US"/>
        </w:rPr>
        <w:t>Jeigu vaikui yra pūlinga sloga, karščiavimas arba skausmas nepraeina per 3 dienas, kreipkitės į gydytoją.</w:t>
      </w:r>
      <w:r w:rsidRPr="0042105E">
        <w:rPr>
          <w:color w:val="000000"/>
          <w:szCs w:val="22"/>
          <w:lang w:eastAsia="en-US"/>
        </w:rPr>
        <w:t xml:space="preserve"> Būtina griežtai laikytis nurodyto dozavimo, rekomendacijų dėl </w:t>
      </w:r>
      <w:r w:rsidRPr="0042105E">
        <w:rPr>
          <w:color w:val="000000"/>
          <w:szCs w:val="22"/>
          <w:lang w:val="en-US" w:eastAsia="en-US"/>
        </w:rPr>
        <w:t>3 dienų gydymo trukm</w:t>
      </w:r>
      <w:r w:rsidRPr="0042105E">
        <w:rPr>
          <w:color w:val="000000"/>
          <w:szCs w:val="22"/>
          <w:lang w:eastAsia="en-US"/>
        </w:rPr>
        <w:t>ės ir kontraindikacijų.</w:t>
      </w:r>
    </w:p>
    <w:p w:rsidR="00712AA7" w:rsidRPr="0042105E" w:rsidRDefault="00712AA7" w:rsidP="00712AA7">
      <w:pPr>
        <w:pStyle w:val="BodyText"/>
        <w:spacing w:after="0"/>
        <w:rPr>
          <w:color w:val="000000"/>
          <w:szCs w:val="22"/>
          <w:lang w:eastAsia="en-US"/>
        </w:rPr>
      </w:pPr>
    </w:p>
    <w:p w:rsidR="00712AA7" w:rsidRPr="0042105E" w:rsidRDefault="00712AA7" w:rsidP="00712AA7">
      <w:pPr>
        <w:pStyle w:val="BodyText"/>
        <w:spacing w:after="0"/>
        <w:rPr>
          <w:color w:val="000000"/>
          <w:szCs w:val="22"/>
          <w:lang w:eastAsia="en-US"/>
        </w:rPr>
      </w:pPr>
      <w:r w:rsidRPr="0042105E">
        <w:rPr>
          <w:b/>
          <w:bCs/>
          <w:color w:val="000000"/>
          <w:szCs w:val="22"/>
          <w:lang w:eastAsia="en-US"/>
        </w:rPr>
        <w:t>Paracetamolis gali sukelti sunkių odos reakcijų.</w:t>
      </w:r>
      <w:r w:rsidRPr="0042105E">
        <w:rPr>
          <w:color w:val="000000"/>
          <w:szCs w:val="22"/>
          <w:lang w:eastAsia="en-US"/>
        </w:rPr>
        <w:t xml:space="preserve"> Nutraukite gydymą ir nedelsdami kreipkitės į gydytoją, </w:t>
      </w:r>
      <w:r w:rsidRPr="0042105E">
        <w:rPr>
          <w:b/>
          <w:bCs/>
          <w:color w:val="000000"/>
          <w:szCs w:val="22"/>
          <w:lang w:eastAsia="en-US"/>
        </w:rPr>
        <w:t>jei atsiranda odos išbėrimas ar bet koks kitas alergijos požymis.</w:t>
      </w:r>
    </w:p>
    <w:p w:rsidR="00712AA7" w:rsidRPr="00864D02" w:rsidRDefault="00712AA7" w:rsidP="00712AA7">
      <w:pPr>
        <w:suppressAutoHyphens/>
        <w:spacing w:line="240" w:lineRule="auto"/>
        <w:rPr>
          <w:rFonts w:eastAsia="Times New Roman"/>
          <w:color w:val="000000"/>
          <w:lang w:val="lt-LT" w:eastAsia="zh-CN"/>
        </w:rPr>
      </w:pPr>
    </w:p>
    <w:p w:rsidR="00712AA7" w:rsidRPr="00C754A5" w:rsidRDefault="00712AA7" w:rsidP="00712AA7">
      <w:pPr>
        <w:spacing w:line="240" w:lineRule="auto"/>
        <w:rPr>
          <w:rFonts w:eastAsia="Times New Roman"/>
          <w:color w:val="000000"/>
          <w:lang w:val="lt-LT" w:eastAsia="zh-CN"/>
        </w:rPr>
      </w:pPr>
      <w:r w:rsidRPr="00864D02">
        <w:rPr>
          <w:rFonts w:eastAsia="Times New Roman"/>
          <w:color w:val="000000"/>
          <w:lang w:val="lt-LT" w:eastAsia="zh-CN"/>
        </w:rPr>
        <w:t>Skirti kito karščiavimą mažinančio vaisto kartu su paracetamoliu racionalu tik neveiksmingumo atveju. Gydymą tokiu vaistų deriniu turi paskirti ir prižiūrėti gydytoja</w:t>
      </w:r>
      <w:r w:rsidRPr="00C754A5">
        <w:rPr>
          <w:rFonts w:eastAsia="Times New Roman"/>
          <w:color w:val="000000"/>
          <w:lang w:val="lt-LT" w:eastAsia="zh-CN"/>
        </w:rPr>
        <w:t>s.</w:t>
      </w:r>
    </w:p>
    <w:p w:rsidR="00712AA7" w:rsidRPr="00C754A5" w:rsidRDefault="00712AA7" w:rsidP="00712AA7">
      <w:pPr>
        <w:suppressAutoHyphens/>
        <w:spacing w:line="240" w:lineRule="auto"/>
        <w:rPr>
          <w:rFonts w:eastAsia="Times New Roman"/>
          <w:color w:val="000000"/>
          <w:lang w:val="lt-LT" w:eastAsia="zh-CN"/>
        </w:rPr>
      </w:pPr>
    </w:p>
    <w:p w:rsidR="00712AA7" w:rsidRPr="00B92CD7"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C754A5">
        <w:rPr>
          <w:rFonts w:eastAsia="Times New Roman"/>
          <w:b/>
          <w:color w:val="000000"/>
          <w:lang w:val="lt-LT" w:eastAsia="zh-CN"/>
        </w:rPr>
        <w:t>Kiti vaistai ir FERVEX</w:t>
      </w:r>
    </w:p>
    <w:p w:rsidR="00712AA7" w:rsidRPr="005541AA" w:rsidRDefault="00712AA7" w:rsidP="00712AA7">
      <w:pPr>
        <w:suppressAutoHyphens/>
        <w:spacing w:line="240" w:lineRule="auto"/>
        <w:ind w:firstLine="13"/>
        <w:rPr>
          <w:rFonts w:eastAsia="Times New Roman"/>
          <w:lang w:val="lt-LT" w:eastAsia="zh-CN"/>
        </w:rPr>
      </w:pPr>
      <w:r w:rsidRPr="00B92CD7">
        <w:rPr>
          <w:rFonts w:eastAsia="Times New Roman"/>
          <w:iCs/>
          <w:color w:val="000000"/>
          <w:lang w:val="lt-LT" w:eastAsia="zh-CN"/>
        </w:rPr>
        <w:t xml:space="preserve">Neduokite vaikui kartu jokio kito vaisto, kurio sudėtyje yra paracetamolio, kad jis neišgertų per didelės dozės. </w:t>
      </w:r>
      <w:r w:rsidRPr="005541AA">
        <w:rPr>
          <w:rFonts w:eastAsia="Times New Roman"/>
          <w:lang w:val="lt-LT" w:eastAsia="zh-CN"/>
        </w:rPr>
        <w:t>Jeigu Jūsų vaikas vartoja ar neseniai vartojo kitų vaistų arba dėl to nesate tikri, apie tai pasakykite gydytojui arba vaistininkui. Tai ypač svarbu, jeigu Jūsų vaikas vartoja arba vartojo:</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vaistų epilepsijai gydyti, pvz., fenobarbitalio, fenitoino arba karbamazepino;</w:t>
      </w:r>
    </w:p>
    <w:p w:rsidR="00712AA7" w:rsidRPr="005541AA" w:rsidRDefault="00712AA7" w:rsidP="00712AA7">
      <w:pPr>
        <w:numPr>
          <w:ilvl w:val="0"/>
          <w:numId w:val="1"/>
        </w:numPr>
        <w:suppressAutoHyphens/>
        <w:spacing w:after="0" w:line="240" w:lineRule="auto"/>
        <w:ind w:left="709" w:hanging="709"/>
        <w:contextualSpacing/>
        <w:rPr>
          <w:rFonts w:eastAsia="Times New Roman"/>
          <w:lang w:val="lt-LT" w:eastAsia="zh-CN"/>
        </w:rPr>
      </w:pPr>
      <w:r w:rsidRPr="005541AA">
        <w:rPr>
          <w:rFonts w:eastAsia="Times New Roman"/>
          <w:lang w:val="lt-LT" w:eastAsia="zh-CN"/>
        </w:rPr>
        <w:t>vaistų tuberkuliozei gydyti, pvz., izoniazido arba rifampino;</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6A041B">
        <w:rPr>
          <w:rFonts w:eastAsia="Times New Roman"/>
          <w:lang w:val="lt-LT" w:eastAsia="zh-CN"/>
        </w:rPr>
        <w:t>vaistų stipriam skausmui malšinti, pvz., morfino;</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6A041B">
        <w:rPr>
          <w:rFonts w:eastAsia="Times New Roman"/>
          <w:lang w:val="lt-LT" w:eastAsia="zh-CN"/>
        </w:rPr>
        <w:t>vaistų skausmui malšinti ir uždegimui mažinti, pvz., ibuprofeno arba diklofenako;</w:t>
      </w:r>
    </w:p>
    <w:p w:rsidR="00712AA7" w:rsidRPr="006A041B" w:rsidRDefault="00712AA7" w:rsidP="00712AA7">
      <w:pPr>
        <w:numPr>
          <w:ilvl w:val="0"/>
          <w:numId w:val="1"/>
        </w:numPr>
        <w:suppressAutoHyphens/>
        <w:spacing w:after="0" w:line="240" w:lineRule="auto"/>
        <w:ind w:left="709" w:hanging="709"/>
        <w:contextualSpacing/>
        <w:rPr>
          <w:rFonts w:eastAsia="Times New Roman"/>
          <w:lang w:val="lt-LT" w:eastAsia="zh-CN"/>
        </w:rPr>
      </w:pPr>
      <w:r w:rsidRPr="006A041B">
        <w:rPr>
          <w:rFonts w:eastAsia="Times New Roman"/>
          <w:lang w:val="lt-LT" w:eastAsia="zh-CN"/>
        </w:rPr>
        <w:t>vaistų nerimui ar nemigai šalinti, pvz., diazepamo arba zolpidemo;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vaistų psichozei gydyti, pvz., chlorpromazino;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vaistų depresijai gydyti, pvz., imipramino arba amitriptilino;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vaistų parkinsonizmui gydyti, pvz., triheksifenidilio;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vaistų alergijai gydyti, pvz., difenhidramino;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tam tikrų vaistų hipertenzijai gydyti, pvz., klonidino arba rilmenidino;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virškinimo trakto judesius slopinančių vaistų, pvz., propantelino;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kraują skystinančių vaistų, pvz., varfarino;</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baklofeno (vaisto stipriems raumenų spazmams palengvinti);</w:t>
      </w:r>
    </w:p>
    <w:p w:rsidR="00712AA7" w:rsidRPr="0079162D" w:rsidRDefault="00712AA7" w:rsidP="00712AA7">
      <w:pPr>
        <w:numPr>
          <w:ilvl w:val="0"/>
          <w:numId w:val="1"/>
        </w:numPr>
        <w:suppressAutoHyphens/>
        <w:spacing w:after="0" w:line="240" w:lineRule="auto"/>
        <w:ind w:left="709" w:hanging="709"/>
        <w:contextualSpacing/>
        <w:rPr>
          <w:rFonts w:eastAsia="Times New Roman"/>
          <w:lang w:val="lt-LT" w:eastAsia="zh-CN"/>
        </w:rPr>
      </w:pPr>
      <w:r w:rsidRPr="0079162D">
        <w:rPr>
          <w:rFonts w:eastAsia="Times New Roman"/>
          <w:lang w:val="lt-LT" w:eastAsia="zh-CN"/>
        </w:rPr>
        <w:t>talidomido (vaisto dauginei mielomai – kaulų čiulpų vėžiui gydyti);</w:t>
      </w:r>
    </w:p>
    <w:p w:rsidR="00712AA7" w:rsidRPr="0079162D" w:rsidRDefault="00712AA7" w:rsidP="00712AA7">
      <w:pPr>
        <w:suppressAutoHyphens/>
        <w:spacing w:line="240" w:lineRule="auto"/>
        <w:ind w:left="709" w:hanging="709"/>
        <w:rPr>
          <w:rFonts w:eastAsia="Times New Roman"/>
          <w:lang w:val="lt-LT" w:eastAsia="zh-CN"/>
        </w:rPr>
      </w:pPr>
      <w:r w:rsidRPr="0079162D">
        <w:rPr>
          <w:rFonts w:eastAsia="Times New Roman"/>
          <w:lang w:val="lt-LT" w:eastAsia="zh-CN"/>
        </w:rPr>
        <w:t>-</w:t>
      </w:r>
      <w:r w:rsidRPr="0079162D">
        <w:rPr>
          <w:rFonts w:eastAsia="Times New Roman"/>
          <w:lang w:val="lt-LT" w:eastAsia="zh-CN"/>
        </w:rPr>
        <w:tab/>
        <w:t>dizopiramido (vaisto širdies ritmo sutrikimams gydyti);</w:t>
      </w:r>
    </w:p>
    <w:p w:rsidR="00712AA7" w:rsidRPr="0079162D" w:rsidRDefault="00712AA7" w:rsidP="00712AA7">
      <w:pPr>
        <w:suppressAutoHyphens/>
        <w:spacing w:line="240" w:lineRule="auto"/>
        <w:ind w:left="709" w:hanging="709"/>
        <w:contextualSpacing/>
        <w:rPr>
          <w:rFonts w:eastAsia="Times New Roman"/>
          <w:lang w:val="lt-LT" w:eastAsia="zh-CN"/>
        </w:rPr>
      </w:pPr>
      <w:r w:rsidRPr="0079162D">
        <w:rPr>
          <w:rFonts w:eastAsia="Times New Roman"/>
          <w:lang w:val="lt-LT" w:eastAsia="zh-CN"/>
        </w:rPr>
        <w:t>-</w:t>
      </w:r>
      <w:r w:rsidRPr="0079162D">
        <w:rPr>
          <w:rFonts w:eastAsia="Times New Roman"/>
          <w:lang w:val="lt-LT" w:eastAsia="zh-CN"/>
        </w:rPr>
        <w:tab/>
        <w:t>probenecido (vaisto podagrai gydyti);</w:t>
      </w:r>
    </w:p>
    <w:p w:rsidR="00712AA7" w:rsidRPr="0042105E" w:rsidRDefault="00712AA7" w:rsidP="00712AA7">
      <w:pPr>
        <w:suppressAutoHyphens/>
        <w:spacing w:line="240" w:lineRule="auto"/>
        <w:ind w:left="709" w:hanging="709"/>
        <w:contextualSpacing/>
        <w:rPr>
          <w:rFonts w:eastAsia="Times New Roman"/>
          <w:lang w:val="lt-LT" w:eastAsia="zh-CN"/>
        </w:rPr>
      </w:pPr>
      <w:r w:rsidRPr="0042105E">
        <w:rPr>
          <w:rFonts w:eastAsia="Times New Roman"/>
          <w:lang w:val="lt-LT" w:eastAsia="zh-CN"/>
        </w:rPr>
        <w:t>-</w:t>
      </w:r>
      <w:r w:rsidRPr="0042105E">
        <w:rPr>
          <w:rFonts w:eastAsia="Times New Roman"/>
          <w:lang w:val="lt-LT" w:eastAsia="zh-CN"/>
        </w:rPr>
        <w:tab/>
        <w:t>kolestiramino (vaisto cholesterolio kiekiui kraujyje mažinti);</w:t>
      </w:r>
    </w:p>
    <w:p w:rsidR="00712AA7" w:rsidRPr="0042105E" w:rsidRDefault="00712AA7" w:rsidP="00712AA7">
      <w:pPr>
        <w:suppressAutoHyphens/>
        <w:spacing w:line="240" w:lineRule="auto"/>
        <w:ind w:left="709" w:hanging="709"/>
        <w:contextualSpacing/>
        <w:rPr>
          <w:rFonts w:eastAsia="Times New Roman"/>
          <w:lang w:val="lt-LT" w:eastAsia="zh-CN"/>
        </w:rPr>
      </w:pPr>
      <w:r w:rsidRPr="0042105E">
        <w:rPr>
          <w:rFonts w:eastAsia="Times New Roman"/>
          <w:lang w:val="lt-LT" w:eastAsia="zh-CN"/>
        </w:rPr>
        <w:t>-</w:t>
      </w:r>
      <w:r w:rsidRPr="0042105E">
        <w:rPr>
          <w:rFonts w:eastAsia="Times New Roman"/>
          <w:lang w:val="lt-LT" w:eastAsia="zh-CN"/>
        </w:rPr>
        <w:tab/>
        <w:t>chloramfenikolio (vaisto tam tikrų bakterijų sukeltoms infekcijos gydyti);</w:t>
      </w:r>
    </w:p>
    <w:p w:rsidR="00712AA7" w:rsidRPr="0042105E" w:rsidRDefault="00712AA7" w:rsidP="00712AA7">
      <w:pPr>
        <w:suppressAutoHyphens/>
        <w:spacing w:line="240" w:lineRule="auto"/>
        <w:ind w:left="709" w:hanging="709"/>
        <w:contextualSpacing/>
        <w:rPr>
          <w:rFonts w:eastAsia="Times New Roman"/>
          <w:lang w:val="lt-LT" w:eastAsia="zh-CN"/>
        </w:rPr>
      </w:pPr>
      <w:r w:rsidRPr="0042105E">
        <w:rPr>
          <w:rFonts w:eastAsia="Times New Roman"/>
          <w:lang w:val="lt-LT" w:eastAsia="zh-CN"/>
        </w:rPr>
        <w:t>-</w:t>
      </w:r>
      <w:r w:rsidRPr="0042105E">
        <w:rPr>
          <w:rFonts w:eastAsia="Times New Roman"/>
          <w:lang w:val="lt-LT" w:eastAsia="zh-CN"/>
        </w:rPr>
        <w:tab/>
        <w:t>zidovudino (vaisto ŽIV infekcijai gydyti);</w:t>
      </w:r>
    </w:p>
    <w:p w:rsidR="00712AA7" w:rsidRPr="0042105E" w:rsidRDefault="00712AA7" w:rsidP="00712AA7">
      <w:pPr>
        <w:suppressAutoHyphens/>
        <w:spacing w:line="240" w:lineRule="auto"/>
        <w:ind w:left="709" w:hanging="709"/>
        <w:contextualSpacing/>
        <w:rPr>
          <w:rFonts w:eastAsia="Times New Roman"/>
          <w:lang w:val="lt-LT" w:eastAsia="zh-CN"/>
        </w:rPr>
      </w:pPr>
      <w:r w:rsidRPr="0042105E">
        <w:rPr>
          <w:rFonts w:eastAsia="Times New Roman"/>
          <w:lang w:val="lt-LT" w:eastAsia="zh-CN"/>
        </w:rPr>
        <w:t>-</w:t>
      </w:r>
      <w:r w:rsidRPr="0042105E">
        <w:rPr>
          <w:rFonts w:eastAsia="Times New Roman"/>
          <w:lang w:val="lt-LT" w:eastAsia="zh-CN"/>
        </w:rPr>
        <w:tab/>
        <w:t>krešėjimą slopinančių vaistų – geriamųjų antikoaguliantų (didelės FERVEX dozės gali sustiprinti jų poveikį, todėl prireikus gydytojas pakoreguoti dozę).</w:t>
      </w:r>
    </w:p>
    <w:p w:rsidR="00712AA7" w:rsidRPr="0042105E" w:rsidRDefault="00712AA7" w:rsidP="00712AA7">
      <w:pPr>
        <w:suppressAutoHyphens/>
        <w:spacing w:line="240" w:lineRule="auto"/>
        <w:ind w:left="709" w:hanging="709"/>
        <w:contextualSpacing/>
        <w:rPr>
          <w:rFonts w:eastAsia="Times New Roman"/>
          <w:lang w:val="lt-LT" w:eastAsia="zh-CN"/>
        </w:rPr>
      </w:pPr>
    </w:p>
    <w:p w:rsidR="00712AA7" w:rsidRPr="006A041B" w:rsidRDefault="00712AA7" w:rsidP="00712AA7">
      <w:pPr>
        <w:tabs>
          <w:tab w:val="left" w:pos="1296"/>
        </w:tabs>
        <w:rPr>
          <w:noProof/>
        </w:rPr>
      </w:pPr>
      <w:r w:rsidRPr="0042105E">
        <w:rPr>
          <w:noProof/>
        </w:rPr>
        <w:t>Paracetamolio vartoti kartu su flukloksacilinu reikia atsargiai, nes juos vartojant kartu,</w:t>
      </w:r>
      <w:r w:rsidRPr="00864D02">
        <w:rPr>
          <w:noProof/>
        </w:rPr>
        <w:t xml:space="preserve"> </w:t>
      </w:r>
      <w:r w:rsidRPr="00864D02">
        <w:t>kyla kraujo ir skysčių nukrypimų nuo normos (padidėjusio anijoninio tarpo esant metabolinei acidozei), kurių atsiranda padidėjus plazmos rūgštingumui, rizika</w:t>
      </w:r>
      <w:r w:rsidRPr="00B92CD7">
        <w:t>, ypač pacientams, turintiems rizikos veiksnių</w:t>
      </w:r>
      <w:r w:rsidRPr="005541AA">
        <w:t xml:space="preserve">. Pasakykite savo gydytojui jei vartojate </w:t>
      </w:r>
      <w:r w:rsidRPr="005541AA">
        <w:rPr>
          <w:noProof/>
        </w:rPr>
        <w:t>flukloksacilin</w:t>
      </w:r>
      <w:r w:rsidRPr="006A041B">
        <w:rPr>
          <w:noProof/>
        </w:rPr>
        <w:t>o.</w:t>
      </w:r>
    </w:p>
    <w:p w:rsidR="00712AA7" w:rsidRPr="006A041B" w:rsidRDefault="00712AA7" w:rsidP="00712AA7">
      <w:pPr>
        <w:pStyle w:val="BodyText"/>
        <w:spacing w:after="0"/>
        <w:rPr>
          <w:color w:val="000000"/>
          <w:szCs w:val="22"/>
          <w:lang w:eastAsia="en-US"/>
        </w:rPr>
      </w:pPr>
    </w:p>
    <w:p w:rsidR="00712AA7" w:rsidRPr="0079162D" w:rsidRDefault="00712AA7" w:rsidP="00712AA7">
      <w:pPr>
        <w:pStyle w:val="BodyText"/>
        <w:spacing w:after="0"/>
        <w:rPr>
          <w:color w:val="000000"/>
          <w:szCs w:val="22"/>
          <w:lang w:eastAsia="en-US"/>
        </w:rPr>
      </w:pPr>
      <w:r w:rsidRPr="006A041B">
        <w:rPr>
          <w:color w:val="000000"/>
          <w:szCs w:val="22"/>
        </w:rPr>
        <w:t>Jeigu gydytojas nurodytų atlikti šlapimo rūgšties arba cukraus kiekio kraujyje tyrimą Jums arba Jūsų vaikui, informuokite jį apie šio vaisto vartojimą.</w:t>
      </w:r>
    </w:p>
    <w:p w:rsidR="00712AA7" w:rsidRPr="0079162D" w:rsidRDefault="00712AA7" w:rsidP="00712AA7">
      <w:pPr>
        <w:pStyle w:val="BodyText"/>
        <w:spacing w:after="0"/>
        <w:rPr>
          <w:color w:val="000000"/>
          <w:szCs w:val="22"/>
          <w:lang w:eastAsia="en-US"/>
        </w:rPr>
      </w:pPr>
    </w:p>
    <w:p w:rsidR="00712AA7" w:rsidRPr="00C754A5" w:rsidRDefault="00712AA7" w:rsidP="00712AA7">
      <w:pPr>
        <w:pStyle w:val="Heading3"/>
        <w:spacing w:line="240" w:lineRule="auto"/>
        <w:rPr>
          <w:rFonts w:ascii="Times New Roman" w:hAnsi="Times New Roman"/>
          <w:color w:val="000000"/>
          <w:sz w:val="22"/>
          <w:szCs w:val="22"/>
        </w:rPr>
      </w:pPr>
      <w:r w:rsidRPr="00C754A5">
        <w:rPr>
          <w:rFonts w:ascii="Times New Roman" w:hAnsi="Times New Roman"/>
          <w:color w:val="000000"/>
          <w:sz w:val="22"/>
          <w:szCs w:val="22"/>
        </w:rPr>
        <w:t>FERVEX vartojimas su alkoholiu</w:t>
      </w:r>
    </w:p>
    <w:p w:rsidR="00712AA7" w:rsidRPr="005541AA" w:rsidRDefault="00712AA7" w:rsidP="00712AA7">
      <w:pPr>
        <w:suppressAutoHyphens/>
        <w:spacing w:line="240" w:lineRule="auto"/>
        <w:rPr>
          <w:rFonts w:eastAsia="Times New Roman"/>
          <w:color w:val="000000"/>
          <w:lang w:val="lt-LT" w:bidi="lo-LA"/>
        </w:rPr>
      </w:pPr>
      <w:r w:rsidRPr="005541AA">
        <w:rPr>
          <w:rFonts w:eastAsia="Times New Roman"/>
          <w:color w:val="000000"/>
          <w:lang w:val="lt-LT" w:bidi="lo-LA"/>
        </w:rPr>
        <w:t>Alkoholio ir vaistų, kurių sudėtyje yra alkoholio, kartu su FERVEX vartoti negalima.</w:t>
      </w:r>
    </w:p>
    <w:p w:rsidR="00712AA7" w:rsidRPr="005541AA" w:rsidRDefault="00712AA7" w:rsidP="00712AA7">
      <w:pPr>
        <w:suppressAutoHyphens/>
        <w:spacing w:line="240" w:lineRule="auto"/>
        <w:rPr>
          <w:rFonts w:eastAsia="Times New Roman"/>
          <w:color w:val="000000"/>
          <w:lang w:val="lt-LT" w:eastAsia="zh-CN"/>
        </w:rPr>
      </w:pPr>
    </w:p>
    <w:p w:rsidR="00712AA7" w:rsidRPr="006A041B" w:rsidRDefault="00712AA7" w:rsidP="00712AA7">
      <w:pPr>
        <w:rPr>
          <w:b/>
          <w:bCs/>
        </w:rPr>
      </w:pPr>
      <w:r w:rsidRPr="005541AA">
        <w:rPr>
          <w:b/>
          <w:bCs/>
        </w:rPr>
        <w:t>Nėštumas, žindymo laikotarpis ir vaisingumas</w:t>
      </w:r>
    </w:p>
    <w:p w:rsidR="00712AA7" w:rsidRPr="006A041B" w:rsidRDefault="00712AA7" w:rsidP="00712AA7">
      <w:pPr>
        <w:rPr>
          <w:noProof/>
          <w:szCs w:val="24"/>
        </w:rPr>
      </w:pPr>
    </w:p>
    <w:p w:rsidR="00712AA7" w:rsidRPr="006A041B" w:rsidRDefault="00712AA7" w:rsidP="00712AA7">
      <w:pPr>
        <w:rPr>
          <w:noProof/>
          <w:szCs w:val="24"/>
        </w:rPr>
      </w:pPr>
      <w:r w:rsidRPr="006A041B">
        <w:rPr>
          <w:noProof/>
          <w:szCs w:val="24"/>
        </w:rPr>
        <w:t>Jeigu esate nėščia, žindote kūdikį, manote, kad galbūt esate nėščia, arba planuojate pastoti, tai prieš vartodama šį vaistą pasitarkite su gydytoju arba vaistininku.</w:t>
      </w:r>
    </w:p>
    <w:p w:rsidR="00712AA7" w:rsidRPr="0079162D" w:rsidRDefault="00712AA7" w:rsidP="00712AA7"/>
    <w:p w:rsidR="00712AA7" w:rsidRPr="003602F1" w:rsidRDefault="00712AA7" w:rsidP="00712AA7">
      <w:pPr>
        <w:rPr>
          <w:lang w:val="lt-LT"/>
        </w:rPr>
      </w:pPr>
      <w:r w:rsidRPr="003602F1">
        <w:rPr>
          <w:lang w:val="lt-LT"/>
        </w:rPr>
        <w:t>Jei būtina, FERVEX galima vartoti nėštumo metu. Turėtumėte vartoti kuo mažesnę vaisto dozę, kurios pakanka skausmui ir (arba) karščiavimui sumažinti, ir vartoti vaisto kuo trumpiau. Jeigu skausmas ir (arba) karščiavimas nemažėja arba Jums reikia dažniau vartoti šio vaisto, kreipkitės į savo gydytoją ar akušerę.</w:t>
      </w:r>
    </w:p>
    <w:p w:rsidR="00712AA7" w:rsidRPr="003602F1" w:rsidRDefault="00712AA7" w:rsidP="00712AA7">
      <w:pPr>
        <w:rPr>
          <w:lang w:val="lt-LT"/>
        </w:rPr>
      </w:pPr>
      <w:r w:rsidRPr="003602F1">
        <w:rPr>
          <w:lang w:val="lt-LT"/>
        </w:rPr>
        <w:t>Nesant pakankamai duomenų, žindymo laikotarpiu atsargumo dėlei šio vaisto vartoti negalima.</w:t>
      </w:r>
    </w:p>
    <w:p w:rsidR="00712AA7" w:rsidRPr="003602F1" w:rsidRDefault="00712AA7" w:rsidP="00712AA7">
      <w:pPr>
        <w:rPr>
          <w:lang w:val="lt-LT"/>
        </w:rPr>
      </w:pPr>
    </w:p>
    <w:p w:rsidR="00712AA7" w:rsidRDefault="00712AA7" w:rsidP="00712AA7">
      <w:pPr>
        <w:rPr>
          <w:lang w:val="lt-LT"/>
        </w:rPr>
      </w:pPr>
      <w:r w:rsidRPr="003602F1">
        <w:rPr>
          <w:lang w:val="lt-LT"/>
        </w:rPr>
        <w:t>Duomenų apie vaisto įtaką vaisingumui nėra.</w:t>
      </w:r>
    </w:p>
    <w:p w:rsidR="00712AA7" w:rsidRPr="0016477C" w:rsidRDefault="00712AA7" w:rsidP="00712AA7">
      <w:pPr>
        <w:suppressAutoHyphens/>
        <w:spacing w:line="240" w:lineRule="auto"/>
        <w:rPr>
          <w:rFonts w:eastAsia="Times New Roman"/>
          <w:color w:val="000000"/>
          <w:lang w:val="lt-LT" w:eastAsia="zh-CN"/>
        </w:rPr>
      </w:pPr>
    </w:p>
    <w:p w:rsidR="00712AA7" w:rsidRPr="0042105E" w:rsidRDefault="00712AA7" w:rsidP="00712AA7">
      <w:pPr>
        <w:suppressAutoHyphens/>
        <w:spacing w:line="240" w:lineRule="auto"/>
        <w:rPr>
          <w:rFonts w:eastAsia="Times New Roman"/>
          <w:b/>
          <w:color w:val="000000"/>
          <w:lang w:val="lt-LT" w:eastAsia="zh-CN"/>
        </w:rPr>
      </w:pPr>
      <w:r w:rsidRPr="0042105E">
        <w:rPr>
          <w:rFonts w:eastAsia="Times New Roman"/>
          <w:b/>
          <w:color w:val="000000"/>
          <w:lang w:val="lt-LT" w:eastAsia="zh-CN"/>
        </w:rPr>
        <w:t>Vairavimas ir mechanizmų valdymas</w:t>
      </w:r>
    </w:p>
    <w:p w:rsidR="00712AA7" w:rsidRPr="0042105E" w:rsidRDefault="00712AA7" w:rsidP="00712AA7">
      <w:pPr>
        <w:pStyle w:val="EMEABodyText"/>
        <w:rPr>
          <w:color w:val="000000"/>
          <w:szCs w:val="22"/>
        </w:rPr>
      </w:pPr>
      <w:r w:rsidRPr="0042105E">
        <w:rPr>
          <w:color w:val="000000"/>
          <w:szCs w:val="22"/>
        </w:rPr>
        <w:t>Nevairuokite ir nevaldykite mechanizmų ar įrengimų, kadangi šis vaistas gali sukelti mieguistumą dieną bei dėl to sutrikdyti gebėjimą vairuoti, valdyti mechanizmus ir įrengimus.</w:t>
      </w:r>
    </w:p>
    <w:p w:rsidR="00712AA7" w:rsidRPr="0042105E" w:rsidRDefault="00712AA7" w:rsidP="00712AA7">
      <w:pPr>
        <w:pStyle w:val="EMEABodyText"/>
        <w:rPr>
          <w:color w:val="000000"/>
          <w:szCs w:val="22"/>
        </w:rPr>
      </w:pPr>
      <w:r w:rsidRPr="0042105E">
        <w:rPr>
          <w:color w:val="000000"/>
          <w:szCs w:val="22"/>
        </w:rPr>
        <w:t>Mieguistumą sustiprina alkoholinių gėrimų, alkoholio turinčių vaistinių preparatų ar raminamųjų vaistų vartojimas.</w:t>
      </w:r>
    </w:p>
    <w:p w:rsidR="00712AA7" w:rsidRPr="0042105E" w:rsidRDefault="00712AA7" w:rsidP="00712AA7">
      <w:pPr>
        <w:suppressAutoHyphens/>
        <w:spacing w:line="240" w:lineRule="auto"/>
        <w:ind w:left="567" w:hanging="567"/>
        <w:rPr>
          <w:rFonts w:eastAsia="Times New Roman"/>
          <w:b/>
          <w:color w:val="000000"/>
          <w:lang w:val="lt-LT" w:eastAsia="zh-CN"/>
        </w:rPr>
      </w:pPr>
    </w:p>
    <w:p w:rsidR="00712AA7" w:rsidRPr="00864D02" w:rsidRDefault="00712AA7" w:rsidP="00712AA7">
      <w:pPr>
        <w:rPr>
          <w:b/>
          <w:lang w:val="lt-LT"/>
        </w:rPr>
      </w:pPr>
      <w:r w:rsidRPr="00864D02">
        <w:rPr>
          <w:rFonts w:eastAsia="Times New Roman"/>
          <w:b/>
          <w:color w:val="000000"/>
          <w:lang w:val="lt-LT" w:eastAsia="zh-CN"/>
        </w:rPr>
        <w:t>FERVEX sudėtyje yra saulėlydžio geltonojo FCF (E110), alura raudonojo AC (E129) ir nedideli kiekiai benzilo alkoholio, natrio benzoato (E202).</w:t>
      </w:r>
    </w:p>
    <w:p w:rsidR="00712AA7" w:rsidRPr="00C754A5" w:rsidRDefault="00712AA7" w:rsidP="00712AA7">
      <w:pPr>
        <w:rPr>
          <w:lang w:val="lt-LT"/>
        </w:rPr>
      </w:pPr>
      <w:r w:rsidRPr="00C754A5">
        <w:rPr>
          <w:lang w:val="lt-LT"/>
        </w:rPr>
        <w:t>Šio vaisto sudėtyje yra azo dažomosios medžiagos (E110), alura raudonojo AC (E129) ir jie gali sukelti alergines reakcijas.</w:t>
      </w:r>
    </w:p>
    <w:p w:rsidR="00712AA7" w:rsidRPr="00C754A5" w:rsidRDefault="00712AA7" w:rsidP="00712AA7">
      <w:pPr>
        <w:rPr>
          <w:lang w:val="lt-LT"/>
        </w:rPr>
      </w:pPr>
      <w:r w:rsidRPr="00B92CD7">
        <w:rPr>
          <w:lang w:val="lt-LT"/>
        </w:rPr>
        <w:t xml:space="preserve">Kiekviename šio vaisto paketėlyje yra 0,28 mg benzilo alkoholio. Benzilo alkoholis gali sukelti alergines reakcijas. Pasitarkite su gydytoju arba vaistininku, jeigu esate nėščia arba žindote kūdikį, kadangi didelis benzilo alkoholio kiekis gali kauptis Jūsų organizme ir sukelti šalutinį poveikį (vadinamąją metabolinę acidozę). Pasitarkite su gydytoju arba vaistininku, jeigu jums yra kepenų ar </w:t>
      </w:r>
      <w:r w:rsidRPr="00C754A5">
        <w:rPr>
          <w:lang w:val="lt-LT"/>
        </w:rPr>
        <w:t>inkstų sutrikimų.</w:t>
      </w:r>
    </w:p>
    <w:p w:rsidR="00712AA7" w:rsidRPr="00C754A5" w:rsidRDefault="00712AA7" w:rsidP="00712AA7">
      <w:pPr>
        <w:rPr>
          <w:lang w:val="lt-LT"/>
        </w:rPr>
      </w:pPr>
      <w:r w:rsidRPr="00C754A5">
        <w:rPr>
          <w:lang w:val="lt-LT"/>
        </w:rPr>
        <w:t>Kiekviename šio vaisto paketėlyje yra 0,0036 mg natrio benzoato.</w:t>
      </w:r>
    </w:p>
    <w:p w:rsidR="00712AA7" w:rsidRPr="005541AA" w:rsidRDefault="00712AA7" w:rsidP="00712AA7">
      <w:pPr>
        <w:rPr>
          <w:lang w:val="lt-LT"/>
        </w:rPr>
      </w:pPr>
      <w:r w:rsidRPr="00C754A5">
        <w:rPr>
          <w:lang w:val="lt-LT"/>
        </w:rPr>
        <w:t>Kiekviename šio vaisto paketėlyje yra 0,0036 mg alkoholio (etanolio).</w:t>
      </w:r>
      <w:r w:rsidRPr="00C754A5">
        <w:t xml:space="preserve"> Toks paketėlyje esantis alkoholio kiekis atitinka alaus ar vyno pėdsakus, kurie nesukelia jokio pastebimo poveikio.</w:t>
      </w:r>
    </w:p>
    <w:p w:rsidR="00712AA7" w:rsidRDefault="00712AA7" w:rsidP="00712AA7">
      <w:pPr>
        <w:rPr>
          <w:lang w:val="lt-LT"/>
        </w:rPr>
      </w:pPr>
      <w:r w:rsidRPr="006A041B">
        <w:rPr>
          <w:lang w:val="lt-LT"/>
        </w:rPr>
        <w:t>Kiekviename šio vaisto paketėlyje yra mažiau kaip 1 mmol (23 mg) natrio, t.y. jis beveik neturi reikšmės.</w:t>
      </w:r>
    </w:p>
    <w:p w:rsidR="00712AA7" w:rsidRPr="006A041B" w:rsidRDefault="00712AA7" w:rsidP="00712AA7">
      <w:pPr>
        <w:suppressAutoHyphens/>
        <w:spacing w:line="240" w:lineRule="auto"/>
        <w:rPr>
          <w:rFonts w:eastAsia="Times New Roman"/>
          <w:color w:val="000000"/>
          <w:lang w:val="lt-LT" w:eastAsia="zh-CN"/>
        </w:rPr>
      </w:pPr>
    </w:p>
    <w:p w:rsidR="00712AA7" w:rsidRPr="006A041B" w:rsidRDefault="00712AA7" w:rsidP="00712AA7">
      <w:pPr>
        <w:suppressAutoHyphens/>
        <w:spacing w:line="240" w:lineRule="auto"/>
        <w:rPr>
          <w:rFonts w:eastAsia="Times New Roman"/>
          <w:color w:val="000000"/>
          <w:lang w:val="lt-LT" w:eastAsia="zh-CN"/>
        </w:rPr>
      </w:pPr>
    </w:p>
    <w:p w:rsidR="00712AA7" w:rsidRPr="0079162D" w:rsidRDefault="00712AA7" w:rsidP="00712AA7">
      <w:pPr>
        <w:keepNext/>
        <w:numPr>
          <w:ilvl w:val="1"/>
          <w:numId w:val="0"/>
        </w:numPr>
        <w:tabs>
          <w:tab w:val="num" w:pos="0"/>
        </w:tabs>
        <w:suppressAutoHyphens/>
        <w:spacing w:line="240" w:lineRule="auto"/>
        <w:ind w:left="576" w:hanging="576"/>
        <w:outlineLvl w:val="1"/>
        <w:rPr>
          <w:rFonts w:eastAsia="Times New Roman"/>
          <w:b/>
          <w:color w:val="000000"/>
          <w:lang w:val="lt-LT" w:eastAsia="zh-CN"/>
        </w:rPr>
      </w:pPr>
      <w:r w:rsidRPr="0079162D">
        <w:rPr>
          <w:rFonts w:eastAsia="Times New Roman"/>
          <w:b/>
          <w:color w:val="000000"/>
          <w:lang w:val="lt-LT" w:eastAsia="zh-CN"/>
        </w:rPr>
        <w:t>3.</w:t>
      </w:r>
      <w:r w:rsidRPr="0079162D">
        <w:rPr>
          <w:rFonts w:eastAsia="Times New Roman"/>
          <w:b/>
          <w:color w:val="000000"/>
          <w:lang w:val="lt-LT" w:eastAsia="zh-CN"/>
        </w:rPr>
        <w:tab/>
        <w:t>Kaip vartoti FERVEX</w:t>
      </w:r>
    </w:p>
    <w:p w:rsidR="00712AA7" w:rsidRPr="0079162D" w:rsidRDefault="00712AA7" w:rsidP="00712AA7">
      <w:pPr>
        <w:suppressAutoHyphens/>
        <w:spacing w:line="240" w:lineRule="auto"/>
        <w:rPr>
          <w:rFonts w:eastAsia="Times New Roman"/>
          <w:color w:val="000000"/>
          <w:lang w:val="lt-LT" w:eastAsia="zh-CN"/>
        </w:rPr>
      </w:pPr>
    </w:p>
    <w:p w:rsidR="00712AA7" w:rsidRDefault="00712AA7" w:rsidP="00712AA7">
      <w:pPr>
        <w:suppressAutoHyphens/>
        <w:spacing w:line="240" w:lineRule="auto"/>
        <w:rPr>
          <w:rFonts w:eastAsia="Times New Roman"/>
          <w:color w:val="000000"/>
          <w:lang w:val="lt-LT" w:eastAsia="zh-CN"/>
        </w:rPr>
      </w:pPr>
      <w:r w:rsidRPr="0079162D">
        <w:rPr>
          <w:rFonts w:eastAsia="Times New Roman"/>
          <w:color w:val="000000"/>
          <w:lang w:val="lt-LT" w:eastAsia="zh-CN"/>
        </w:rPr>
        <w:t>Visada vartokite šį vaistą tiksliai kaip aprašyta šiame lapelyje arba kaip nurodė gydytojas arba vaistininkas. Jeigu abejojate, kreipkitės į vaistininką.</w:t>
      </w:r>
    </w:p>
    <w:p w:rsidR="00712AA7" w:rsidRPr="0079162D" w:rsidRDefault="00712AA7" w:rsidP="00712AA7">
      <w:pPr>
        <w:suppressAutoHyphens/>
        <w:spacing w:line="240" w:lineRule="auto"/>
        <w:rPr>
          <w:rFonts w:eastAsia="Times New Roman"/>
          <w:color w:val="000000"/>
          <w:lang w:val="lt-LT" w:eastAsia="zh-CN"/>
        </w:rPr>
      </w:pPr>
    </w:p>
    <w:p w:rsidR="00712AA7" w:rsidRPr="0079162D" w:rsidRDefault="00712AA7" w:rsidP="00712AA7">
      <w:pPr>
        <w:suppressAutoHyphens/>
        <w:spacing w:line="240" w:lineRule="auto"/>
        <w:rPr>
          <w:rFonts w:eastAsia="Times New Roman"/>
          <w:b/>
          <w:bCs/>
          <w:color w:val="000000"/>
          <w:lang w:val="lt-LT" w:eastAsia="zh-CN"/>
        </w:rPr>
      </w:pPr>
      <w:r w:rsidRPr="0079162D">
        <w:rPr>
          <w:rFonts w:eastAsia="Times New Roman"/>
          <w:b/>
          <w:bCs/>
          <w:color w:val="000000"/>
          <w:lang w:val="lt-LT" w:eastAsia="zh-CN"/>
        </w:rPr>
        <w:t>Dozavimas</w:t>
      </w:r>
    </w:p>
    <w:p w:rsidR="00712AA7" w:rsidRPr="0079162D" w:rsidRDefault="00712AA7" w:rsidP="00712AA7">
      <w:pPr>
        <w:suppressAutoHyphens/>
        <w:spacing w:line="240" w:lineRule="auto"/>
        <w:rPr>
          <w:rFonts w:eastAsia="Times New Roman"/>
          <w:b/>
          <w:bCs/>
          <w:color w:val="000000"/>
          <w:lang w:val="lt-LT" w:eastAsia="zh-CN"/>
        </w:rPr>
      </w:pPr>
    </w:p>
    <w:p w:rsidR="00712AA7" w:rsidRPr="00B92CD7" w:rsidRDefault="00712AA7" w:rsidP="00712AA7">
      <w:pPr>
        <w:suppressAutoHyphens/>
        <w:spacing w:line="240" w:lineRule="auto"/>
        <w:rPr>
          <w:rFonts w:eastAsia="Times New Roman"/>
          <w:b/>
          <w:bCs/>
          <w:color w:val="000000"/>
          <w:lang w:val="lt-LT" w:eastAsia="zh-CN"/>
        </w:rPr>
      </w:pPr>
      <w:r w:rsidRPr="00C754A5">
        <w:rPr>
          <w:rFonts w:eastAsia="Times New Roman"/>
          <w:b/>
          <w:bCs/>
          <w:color w:val="000000"/>
          <w:lang w:val="lt-LT" w:eastAsia="zh-CN"/>
        </w:rPr>
        <w:t>V</w:t>
      </w:r>
      <w:r w:rsidRPr="00B92CD7">
        <w:rPr>
          <w:rFonts w:eastAsia="Times New Roman"/>
          <w:b/>
          <w:bCs/>
          <w:color w:val="000000"/>
          <w:lang w:val="lt-LT" w:eastAsia="zh-CN"/>
        </w:rPr>
        <w:t>artojimas v</w:t>
      </w:r>
      <w:r w:rsidRPr="00C754A5">
        <w:rPr>
          <w:rFonts w:eastAsia="Times New Roman"/>
          <w:b/>
          <w:bCs/>
          <w:color w:val="000000"/>
          <w:lang w:val="lt-LT" w:eastAsia="zh-CN"/>
        </w:rPr>
        <w:t>aikams ir paaugliams</w:t>
      </w:r>
    </w:p>
    <w:p w:rsidR="00712AA7" w:rsidRPr="00B92CD7" w:rsidRDefault="00712AA7" w:rsidP="00712AA7">
      <w:pPr>
        <w:pStyle w:val="AmmCorpsTexte"/>
        <w:spacing w:after="0"/>
        <w:rPr>
          <w:rFonts w:ascii="Times New Roman" w:hAnsi="Times New Roman"/>
          <w:sz w:val="22"/>
          <w:szCs w:val="22"/>
          <w:lang w:val="lt-LT"/>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2520"/>
        <w:gridCol w:w="1620"/>
        <w:gridCol w:w="2863"/>
      </w:tblGrid>
      <w:tr w:rsidR="00712AA7" w:rsidRPr="00C754A5" w:rsidTr="008715DC">
        <w:trPr>
          <w:trHeight w:val="211"/>
          <w:jc w:val="center"/>
        </w:trPr>
        <w:tc>
          <w:tcPr>
            <w:tcW w:w="2064" w:type="dxa"/>
            <w:shd w:val="clear" w:color="auto" w:fill="D0CECE"/>
          </w:tcPr>
          <w:p w:rsidR="00712AA7" w:rsidRPr="005541AA" w:rsidRDefault="00712AA7" w:rsidP="008715DC">
            <w:pPr>
              <w:suppressAutoHyphens/>
              <w:autoSpaceDE w:val="0"/>
              <w:autoSpaceDN w:val="0"/>
              <w:adjustRightInd w:val="0"/>
              <w:spacing w:line="240" w:lineRule="auto"/>
              <w:jc w:val="center"/>
              <w:rPr>
                <w:rFonts w:eastAsia="Times New Roman"/>
                <w:color w:val="000000"/>
                <w:lang w:val="lt-LT" w:eastAsia="fr-FR"/>
              </w:rPr>
            </w:pPr>
            <w:r w:rsidRPr="005541AA">
              <w:rPr>
                <w:rFonts w:eastAsia="Arial"/>
                <w:b/>
                <w:bCs/>
                <w:color w:val="000000"/>
                <w:bdr w:val="nil"/>
                <w:lang w:val="lt-LT" w:eastAsia="fr-FR"/>
              </w:rPr>
              <w:t>Amžius</w:t>
            </w:r>
            <w:r w:rsidRPr="005541AA">
              <w:rPr>
                <w:rFonts w:eastAsia="Arial"/>
                <w:b/>
                <w:bCs/>
                <w:color w:val="000000"/>
                <w:bdr w:val="nil"/>
                <w:lang w:val="lt-LT" w:eastAsia="fr-FR"/>
              </w:rPr>
              <w:br/>
              <w:t>(kūno svoris)</w:t>
            </w:r>
          </w:p>
        </w:tc>
        <w:tc>
          <w:tcPr>
            <w:tcW w:w="2520" w:type="dxa"/>
            <w:shd w:val="clear" w:color="auto" w:fill="D0CECE"/>
          </w:tcPr>
          <w:p w:rsidR="00712AA7" w:rsidRPr="005541AA" w:rsidRDefault="00712AA7" w:rsidP="008715DC">
            <w:pPr>
              <w:suppressAutoHyphens/>
              <w:autoSpaceDE w:val="0"/>
              <w:autoSpaceDN w:val="0"/>
              <w:adjustRightInd w:val="0"/>
              <w:spacing w:line="240" w:lineRule="auto"/>
              <w:jc w:val="center"/>
              <w:rPr>
                <w:rFonts w:eastAsia="Times New Roman"/>
                <w:b/>
                <w:color w:val="000000"/>
                <w:lang w:val="lt-LT" w:eastAsia="fr-FR"/>
              </w:rPr>
            </w:pPr>
            <w:r w:rsidRPr="005541AA">
              <w:rPr>
                <w:rFonts w:eastAsia="Arial"/>
                <w:b/>
                <w:bCs/>
                <w:color w:val="000000"/>
                <w:bdr w:val="nil"/>
                <w:lang w:val="lt-LT" w:eastAsia="fr-FR"/>
              </w:rPr>
              <w:t>Vienkartinė dozė</w:t>
            </w:r>
          </w:p>
        </w:tc>
        <w:tc>
          <w:tcPr>
            <w:tcW w:w="1620" w:type="dxa"/>
            <w:shd w:val="clear" w:color="auto" w:fill="D0CECE"/>
          </w:tcPr>
          <w:p w:rsidR="00712AA7" w:rsidRPr="006A041B" w:rsidRDefault="00712AA7" w:rsidP="008715DC">
            <w:pPr>
              <w:suppressAutoHyphens/>
              <w:autoSpaceDE w:val="0"/>
              <w:autoSpaceDN w:val="0"/>
              <w:adjustRightInd w:val="0"/>
              <w:spacing w:line="240" w:lineRule="auto"/>
              <w:jc w:val="center"/>
              <w:rPr>
                <w:rFonts w:eastAsia="Times New Roman"/>
                <w:b/>
                <w:color w:val="000000"/>
                <w:lang w:val="lt-LT" w:eastAsia="fr-FR"/>
              </w:rPr>
            </w:pPr>
            <w:r w:rsidRPr="005541AA">
              <w:rPr>
                <w:rFonts w:eastAsia="Arial"/>
                <w:b/>
                <w:bCs/>
                <w:color w:val="000000"/>
                <w:bdr w:val="nil"/>
                <w:lang w:val="lt-LT" w:eastAsia="fr-FR"/>
              </w:rPr>
              <w:t>Vartojimo intervalas</w:t>
            </w:r>
          </w:p>
        </w:tc>
        <w:tc>
          <w:tcPr>
            <w:tcW w:w="2863" w:type="dxa"/>
            <w:shd w:val="clear" w:color="auto" w:fill="D0CECE"/>
          </w:tcPr>
          <w:p w:rsidR="00712AA7" w:rsidRPr="006A041B" w:rsidRDefault="00712AA7" w:rsidP="008715DC">
            <w:pPr>
              <w:suppressAutoHyphens/>
              <w:autoSpaceDE w:val="0"/>
              <w:autoSpaceDN w:val="0"/>
              <w:adjustRightInd w:val="0"/>
              <w:spacing w:line="240" w:lineRule="auto"/>
              <w:jc w:val="center"/>
              <w:rPr>
                <w:rFonts w:eastAsia="Times New Roman"/>
                <w:b/>
                <w:color w:val="000000"/>
                <w:lang w:val="lt-LT" w:eastAsia="fr-FR"/>
              </w:rPr>
            </w:pPr>
            <w:r w:rsidRPr="006A041B">
              <w:rPr>
                <w:rFonts w:eastAsia="Arial"/>
                <w:b/>
                <w:bCs/>
                <w:color w:val="000000"/>
                <w:bdr w:val="nil"/>
                <w:lang w:val="lt-LT" w:eastAsia="fr-FR"/>
              </w:rPr>
              <w:t xml:space="preserve">Didžiausia paros dozė </w:t>
            </w:r>
          </w:p>
        </w:tc>
      </w:tr>
      <w:tr w:rsidR="00712AA7" w:rsidRPr="00C754A5" w:rsidTr="008715DC">
        <w:trPr>
          <w:trHeight w:val="440"/>
          <w:jc w:val="center"/>
        </w:trPr>
        <w:tc>
          <w:tcPr>
            <w:tcW w:w="2064" w:type="dxa"/>
            <w:vAlign w:val="center"/>
          </w:tcPr>
          <w:p w:rsidR="00712AA7" w:rsidRPr="00C754A5" w:rsidRDefault="00712AA7" w:rsidP="008715DC">
            <w:pPr>
              <w:suppressAutoHyphens/>
              <w:autoSpaceDE w:val="0"/>
              <w:autoSpaceDN w:val="0"/>
              <w:adjustRightInd w:val="0"/>
              <w:spacing w:line="240" w:lineRule="auto"/>
              <w:jc w:val="center"/>
              <w:rPr>
                <w:rFonts w:eastAsia="Arial"/>
                <w:b/>
                <w:bCs/>
                <w:color w:val="000000"/>
                <w:bdr w:val="nil"/>
                <w:lang w:val="lt-LT" w:eastAsia="fr-FR"/>
              </w:rPr>
            </w:pPr>
            <w:r w:rsidRPr="00C754A5">
              <w:rPr>
                <w:rFonts w:eastAsia="Arial"/>
                <w:b/>
                <w:bCs/>
                <w:color w:val="000000"/>
                <w:bdr w:val="nil"/>
                <w:lang w:val="lt-LT" w:eastAsia="fr-FR"/>
              </w:rPr>
              <w:t>21</w:t>
            </w:r>
            <w:r w:rsidRPr="00C754A5">
              <w:rPr>
                <w:rFonts w:eastAsia="Arial"/>
                <w:b/>
                <w:bCs/>
                <w:color w:val="000000"/>
                <w:bdr w:val="nil"/>
                <w:lang w:val="lt-LT" w:eastAsia="fr-FR"/>
              </w:rPr>
              <w:noBreakHyphen/>
              <w:t>25 kg</w:t>
            </w:r>
          </w:p>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(maždaug</w:t>
            </w:r>
            <w:r w:rsidRPr="00C754A5">
              <w:rPr>
                <w:rFonts w:eastAsia="Arial"/>
                <w:color w:val="000000"/>
                <w:bdr w:val="nil"/>
                <w:lang w:val="lt-LT" w:eastAsia="fr-FR"/>
              </w:rPr>
              <w:br/>
              <w:t>6</w:t>
            </w:r>
            <w:r w:rsidRPr="00C754A5">
              <w:rPr>
                <w:rFonts w:eastAsia="Arial"/>
                <w:color w:val="000000"/>
                <w:bdr w:val="nil"/>
                <w:lang w:val="lt-LT" w:eastAsia="fr-FR"/>
              </w:rPr>
              <w:noBreakHyphen/>
              <w:t>10 metų amžiaus)</w:t>
            </w:r>
          </w:p>
        </w:tc>
        <w:tc>
          <w:tcPr>
            <w:tcW w:w="2520" w:type="dxa"/>
            <w:vAlign w:val="center"/>
          </w:tcPr>
          <w:p w:rsidR="00712AA7" w:rsidRPr="00C754A5" w:rsidRDefault="00712AA7" w:rsidP="008715DC">
            <w:pPr>
              <w:pStyle w:val="Default"/>
              <w:suppressAutoHyphens/>
              <w:jc w:val="center"/>
              <w:rPr>
                <w:rFonts w:ascii="Times New Roman" w:eastAsia="Arial" w:hAnsi="Times New Roman" w:cs="Times New Roman"/>
                <w:b/>
                <w:bCs/>
                <w:sz w:val="22"/>
                <w:szCs w:val="22"/>
                <w:bdr w:val="nil"/>
                <w:lang w:val="lt-LT"/>
              </w:rPr>
            </w:pPr>
            <w:r w:rsidRPr="00C754A5">
              <w:rPr>
                <w:rFonts w:ascii="Times New Roman" w:eastAsia="Arial" w:hAnsi="Times New Roman" w:cs="Times New Roman"/>
                <w:b/>
                <w:bCs/>
                <w:sz w:val="22"/>
                <w:szCs w:val="22"/>
                <w:bdr w:val="nil"/>
                <w:lang w:val="lt-LT"/>
              </w:rPr>
              <w:t>1 paketėlis</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(280 mg paracetamolio,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10 mg feniramino,</w:t>
            </w:r>
          </w:p>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100 mg askorbo rūgšties)</w:t>
            </w:r>
          </w:p>
        </w:tc>
        <w:tc>
          <w:tcPr>
            <w:tcW w:w="1620" w:type="dxa"/>
            <w:vAlign w:val="center"/>
          </w:tcPr>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Mažiausiai kas12 val.</w:t>
            </w:r>
          </w:p>
        </w:tc>
        <w:tc>
          <w:tcPr>
            <w:tcW w:w="2863" w:type="dxa"/>
            <w:vAlign w:val="center"/>
          </w:tcPr>
          <w:p w:rsidR="00712AA7" w:rsidRPr="00C754A5" w:rsidRDefault="00712AA7" w:rsidP="008715DC">
            <w:pPr>
              <w:pStyle w:val="Default"/>
              <w:suppressAutoHyphens/>
              <w:jc w:val="center"/>
              <w:rPr>
                <w:rFonts w:ascii="Times New Roman" w:eastAsia="Arial" w:hAnsi="Times New Roman" w:cs="Times New Roman"/>
                <w:b/>
                <w:bCs/>
                <w:sz w:val="22"/>
                <w:szCs w:val="22"/>
                <w:bdr w:val="nil"/>
                <w:lang w:val="lt-LT"/>
              </w:rPr>
            </w:pPr>
            <w:r w:rsidRPr="00C754A5">
              <w:rPr>
                <w:rFonts w:ascii="Times New Roman" w:eastAsia="Arial" w:hAnsi="Times New Roman" w:cs="Times New Roman"/>
                <w:b/>
                <w:bCs/>
                <w:sz w:val="22"/>
                <w:szCs w:val="22"/>
                <w:bdr w:val="nil"/>
                <w:lang w:val="lt-LT"/>
              </w:rPr>
              <w:t>2 paketėliai</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(560 mg paracetamolio,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20 mg feniramino,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200 mg askorbo rūgšties)</w:t>
            </w:r>
          </w:p>
        </w:tc>
      </w:tr>
      <w:tr w:rsidR="00712AA7" w:rsidRPr="00C754A5" w:rsidTr="008715DC">
        <w:trPr>
          <w:trHeight w:val="440"/>
          <w:jc w:val="center"/>
        </w:trPr>
        <w:tc>
          <w:tcPr>
            <w:tcW w:w="2064" w:type="dxa"/>
            <w:vAlign w:val="center"/>
          </w:tcPr>
          <w:p w:rsidR="00712AA7" w:rsidRPr="00C754A5" w:rsidRDefault="00712AA7" w:rsidP="008715DC">
            <w:pPr>
              <w:suppressAutoHyphens/>
              <w:autoSpaceDE w:val="0"/>
              <w:autoSpaceDN w:val="0"/>
              <w:adjustRightInd w:val="0"/>
              <w:spacing w:line="240" w:lineRule="auto"/>
              <w:jc w:val="center"/>
              <w:rPr>
                <w:rFonts w:eastAsia="Arial"/>
                <w:b/>
                <w:bCs/>
                <w:color w:val="000000"/>
                <w:bdr w:val="nil"/>
                <w:lang w:val="lt-LT" w:eastAsia="fr-FR"/>
              </w:rPr>
            </w:pPr>
            <w:r w:rsidRPr="00C754A5">
              <w:rPr>
                <w:rFonts w:eastAsia="Arial"/>
                <w:b/>
                <w:bCs/>
                <w:color w:val="000000"/>
                <w:bdr w:val="nil"/>
                <w:lang w:val="lt-LT" w:eastAsia="fr-FR"/>
              </w:rPr>
              <w:t>26</w:t>
            </w:r>
            <w:r w:rsidRPr="00C754A5">
              <w:rPr>
                <w:rFonts w:eastAsia="Arial"/>
                <w:b/>
                <w:bCs/>
                <w:color w:val="000000"/>
                <w:bdr w:val="nil"/>
                <w:lang w:val="lt-LT" w:eastAsia="fr-FR"/>
              </w:rPr>
              <w:noBreakHyphen/>
              <w:t>40 kg</w:t>
            </w:r>
          </w:p>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(maždaug</w:t>
            </w:r>
            <w:r w:rsidRPr="00C754A5">
              <w:rPr>
                <w:rFonts w:eastAsia="Arial"/>
                <w:color w:val="000000"/>
                <w:bdr w:val="nil"/>
                <w:lang w:val="lt-LT" w:eastAsia="fr-FR"/>
              </w:rPr>
              <w:br/>
              <w:t>10</w:t>
            </w:r>
            <w:r w:rsidRPr="00C754A5">
              <w:rPr>
                <w:rFonts w:eastAsia="Arial"/>
                <w:color w:val="000000"/>
                <w:bdr w:val="nil"/>
                <w:lang w:val="lt-LT" w:eastAsia="fr-FR"/>
              </w:rPr>
              <w:noBreakHyphen/>
              <w:t>12 metų amžiaus)</w:t>
            </w:r>
          </w:p>
        </w:tc>
        <w:tc>
          <w:tcPr>
            <w:tcW w:w="2520" w:type="dxa"/>
            <w:vAlign w:val="center"/>
          </w:tcPr>
          <w:p w:rsidR="00712AA7" w:rsidRPr="00C754A5" w:rsidRDefault="00712AA7" w:rsidP="008715DC">
            <w:pPr>
              <w:pStyle w:val="Default"/>
              <w:suppressAutoHyphens/>
              <w:jc w:val="center"/>
              <w:rPr>
                <w:rFonts w:ascii="Times New Roman" w:eastAsia="Arial" w:hAnsi="Times New Roman" w:cs="Times New Roman"/>
                <w:b/>
                <w:bCs/>
                <w:sz w:val="22"/>
                <w:szCs w:val="22"/>
                <w:bdr w:val="nil"/>
                <w:lang w:val="lt-LT"/>
              </w:rPr>
            </w:pPr>
            <w:r w:rsidRPr="00C754A5">
              <w:rPr>
                <w:rFonts w:ascii="Times New Roman" w:eastAsia="Arial" w:hAnsi="Times New Roman" w:cs="Times New Roman"/>
                <w:b/>
                <w:bCs/>
                <w:sz w:val="22"/>
                <w:szCs w:val="22"/>
                <w:bdr w:val="nil"/>
                <w:lang w:val="lt-LT"/>
              </w:rPr>
              <w:t>1 paketėlis</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(280 mg paracetamolio,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10 mg feniramino,</w:t>
            </w:r>
          </w:p>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100 mg askorbo rūgšties)</w:t>
            </w:r>
          </w:p>
        </w:tc>
        <w:tc>
          <w:tcPr>
            <w:tcW w:w="1620" w:type="dxa"/>
            <w:vAlign w:val="center"/>
          </w:tcPr>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Mažiausiai kas 8 val.</w:t>
            </w:r>
          </w:p>
        </w:tc>
        <w:tc>
          <w:tcPr>
            <w:tcW w:w="2863" w:type="dxa"/>
            <w:vAlign w:val="center"/>
          </w:tcPr>
          <w:p w:rsidR="00712AA7" w:rsidRPr="00C754A5" w:rsidRDefault="00712AA7" w:rsidP="008715DC">
            <w:pPr>
              <w:pStyle w:val="Default"/>
              <w:suppressAutoHyphens/>
              <w:jc w:val="center"/>
              <w:rPr>
                <w:rFonts w:ascii="Times New Roman" w:eastAsia="Arial" w:hAnsi="Times New Roman" w:cs="Times New Roman"/>
                <w:b/>
                <w:bCs/>
                <w:sz w:val="22"/>
                <w:szCs w:val="22"/>
                <w:bdr w:val="nil"/>
                <w:lang w:val="lt-LT"/>
              </w:rPr>
            </w:pPr>
            <w:r w:rsidRPr="00C754A5">
              <w:rPr>
                <w:rFonts w:ascii="Times New Roman" w:eastAsia="Arial" w:hAnsi="Times New Roman" w:cs="Times New Roman"/>
                <w:b/>
                <w:bCs/>
                <w:sz w:val="22"/>
                <w:szCs w:val="22"/>
                <w:bdr w:val="nil"/>
                <w:lang w:val="lt-LT"/>
              </w:rPr>
              <w:t>3 paketėliai</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(840 mg paracetamolio,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30 mg feniramino,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300 mg askorbo rūgšties)</w:t>
            </w:r>
          </w:p>
        </w:tc>
      </w:tr>
      <w:tr w:rsidR="00712AA7" w:rsidRPr="00C754A5" w:rsidTr="008715DC">
        <w:trPr>
          <w:trHeight w:val="440"/>
          <w:jc w:val="center"/>
        </w:trPr>
        <w:tc>
          <w:tcPr>
            <w:tcW w:w="2064" w:type="dxa"/>
            <w:vAlign w:val="center"/>
          </w:tcPr>
          <w:p w:rsidR="00712AA7" w:rsidRPr="00C754A5" w:rsidRDefault="00712AA7" w:rsidP="008715DC">
            <w:pPr>
              <w:suppressAutoHyphens/>
              <w:autoSpaceDE w:val="0"/>
              <w:autoSpaceDN w:val="0"/>
              <w:adjustRightInd w:val="0"/>
              <w:spacing w:line="240" w:lineRule="auto"/>
              <w:jc w:val="center"/>
              <w:rPr>
                <w:rFonts w:eastAsia="Arial"/>
                <w:b/>
                <w:bCs/>
                <w:color w:val="000000"/>
                <w:bdr w:val="nil"/>
                <w:lang w:val="lt-LT" w:eastAsia="fr-FR"/>
              </w:rPr>
            </w:pPr>
            <w:r w:rsidRPr="00C754A5">
              <w:rPr>
                <w:rFonts w:eastAsia="Arial"/>
                <w:b/>
                <w:bCs/>
                <w:color w:val="000000"/>
                <w:bdr w:val="nil"/>
                <w:lang w:val="lt-LT" w:eastAsia="fr-FR"/>
              </w:rPr>
              <w:t>41</w:t>
            </w:r>
            <w:r w:rsidRPr="00C754A5">
              <w:rPr>
                <w:rFonts w:eastAsia="Arial"/>
                <w:b/>
                <w:bCs/>
                <w:color w:val="000000"/>
                <w:bdr w:val="nil"/>
                <w:lang w:val="lt-LT" w:eastAsia="fr-FR"/>
              </w:rPr>
              <w:noBreakHyphen/>
              <w:t>50 kg</w:t>
            </w:r>
          </w:p>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(maždaug</w:t>
            </w:r>
            <w:r w:rsidRPr="00C754A5">
              <w:rPr>
                <w:rFonts w:eastAsia="Arial"/>
                <w:color w:val="000000"/>
                <w:bdr w:val="nil"/>
                <w:lang w:val="lt-LT" w:eastAsia="fr-FR"/>
              </w:rPr>
              <w:br/>
              <w:t>12</w:t>
            </w:r>
            <w:r w:rsidRPr="00C754A5">
              <w:rPr>
                <w:rFonts w:eastAsia="Arial"/>
                <w:color w:val="000000"/>
                <w:bdr w:val="nil"/>
                <w:lang w:val="lt-LT" w:eastAsia="fr-FR"/>
              </w:rPr>
              <w:noBreakHyphen/>
              <w:t>15 metų amžiaus)</w:t>
            </w:r>
          </w:p>
        </w:tc>
        <w:tc>
          <w:tcPr>
            <w:tcW w:w="2520" w:type="dxa"/>
            <w:vAlign w:val="center"/>
          </w:tcPr>
          <w:p w:rsidR="00712AA7" w:rsidRPr="00C754A5" w:rsidRDefault="00712AA7" w:rsidP="008715DC">
            <w:pPr>
              <w:pStyle w:val="Default"/>
              <w:suppressAutoHyphens/>
              <w:jc w:val="center"/>
              <w:rPr>
                <w:rFonts w:ascii="Times New Roman" w:eastAsia="Arial" w:hAnsi="Times New Roman" w:cs="Times New Roman"/>
                <w:b/>
                <w:bCs/>
                <w:sz w:val="22"/>
                <w:szCs w:val="22"/>
                <w:bdr w:val="nil"/>
                <w:lang w:val="lt-LT"/>
              </w:rPr>
            </w:pPr>
            <w:r w:rsidRPr="00C754A5">
              <w:rPr>
                <w:rFonts w:ascii="Times New Roman" w:eastAsia="Arial" w:hAnsi="Times New Roman" w:cs="Times New Roman"/>
                <w:b/>
                <w:bCs/>
                <w:sz w:val="22"/>
                <w:szCs w:val="22"/>
                <w:bdr w:val="nil"/>
                <w:lang w:val="lt-LT"/>
              </w:rPr>
              <w:t>1 paketėlis</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(280 mg paracetamolio,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10 mg feniramino,</w:t>
            </w:r>
          </w:p>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100 mg askorbo rūgšties)</w:t>
            </w:r>
          </w:p>
        </w:tc>
        <w:tc>
          <w:tcPr>
            <w:tcW w:w="1620" w:type="dxa"/>
            <w:vAlign w:val="center"/>
          </w:tcPr>
          <w:p w:rsidR="00712AA7" w:rsidRPr="00C754A5" w:rsidRDefault="00712AA7" w:rsidP="008715DC">
            <w:pPr>
              <w:suppressAutoHyphens/>
              <w:autoSpaceDE w:val="0"/>
              <w:autoSpaceDN w:val="0"/>
              <w:adjustRightInd w:val="0"/>
              <w:spacing w:line="240" w:lineRule="auto"/>
              <w:jc w:val="center"/>
              <w:rPr>
                <w:rFonts w:eastAsia="Arial"/>
                <w:color w:val="000000"/>
                <w:bdr w:val="nil"/>
                <w:lang w:val="lt-LT" w:eastAsia="fr-FR"/>
              </w:rPr>
            </w:pPr>
            <w:r w:rsidRPr="00C754A5">
              <w:rPr>
                <w:rFonts w:eastAsia="Arial"/>
                <w:color w:val="000000"/>
                <w:bdr w:val="nil"/>
                <w:lang w:val="lt-LT" w:eastAsia="fr-FR"/>
              </w:rPr>
              <w:t>Mažiausiai kas 6 val.</w:t>
            </w:r>
          </w:p>
        </w:tc>
        <w:tc>
          <w:tcPr>
            <w:tcW w:w="2863" w:type="dxa"/>
            <w:vAlign w:val="center"/>
          </w:tcPr>
          <w:p w:rsidR="00712AA7" w:rsidRPr="00C754A5" w:rsidRDefault="00712AA7" w:rsidP="008715DC">
            <w:pPr>
              <w:pStyle w:val="Default"/>
              <w:suppressAutoHyphens/>
              <w:jc w:val="center"/>
              <w:rPr>
                <w:rFonts w:ascii="Times New Roman" w:eastAsia="Arial" w:hAnsi="Times New Roman" w:cs="Times New Roman"/>
                <w:b/>
                <w:bCs/>
                <w:sz w:val="22"/>
                <w:szCs w:val="22"/>
                <w:bdr w:val="nil"/>
                <w:lang w:val="lt-LT"/>
              </w:rPr>
            </w:pPr>
            <w:r w:rsidRPr="00C754A5">
              <w:rPr>
                <w:rFonts w:ascii="Times New Roman" w:eastAsia="Arial" w:hAnsi="Times New Roman" w:cs="Times New Roman"/>
                <w:b/>
                <w:bCs/>
                <w:sz w:val="22"/>
                <w:szCs w:val="22"/>
                <w:bdr w:val="nil"/>
                <w:lang w:val="lt-LT"/>
              </w:rPr>
              <w:t>4 paketėliai</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(1120 mg paracetamolio,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40 mg feniramino,</w:t>
            </w:r>
          </w:p>
          <w:p w:rsidR="00712AA7" w:rsidRPr="00C754A5" w:rsidRDefault="00712AA7" w:rsidP="008715DC">
            <w:pPr>
              <w:pStyle w:val="Default"/>
              <w:suppressAutoHyphens/>
              <w:jc w:val="center"/>
              <w:rPr>
                <w:rFonts w:ascii="Times New Roman" w:eastAsia="Arial" w:hAnsi="Times New Roman" w:cs="Times New Roman"/>
                <w:sz w:val="22"/>
                <w:szCs w:val="22"/>
                <w:bdr w:val="nil"/>
                <w:lang w:val="lt-LT"/>
              </w:rPr>
            </w:pPr>
            <w:r w:rsidRPr="00C754A5">
              <w:rPr>
                <w:rFonts w:ascii="Times New Roman" w:eastAsia="Arial" w:hAnsi="Times New Roman" w:cs="Times New Roman"/>
                <w:sz w:val="22"/>
                <w:szCs w:val="22"/>
                <w:bdr w:val="nil"/>
                <w:lang w:val="lt-LT"/>
              </w:rPr>
              <w:t>400 mg askorbo rūgšties)</w:t>
            </w:r>
          </w:p>
        </w:tc>
      </w:tr>
    </w:tbl>
    <w:p w:rsidR="00712AA7" w:rsidRPr="00C754A5" w:rsidRDefault="00712AA7" w:rsidP="00712AA7">
      <w:pPr>
        <w:pStyle w:val="AmmCorpsTexte"/>
        <w:spacing w:after="0"/>
        <w:rPr>
          <w:rFonts w:ascii="Times New Roman" w:hAnsi="Times New Roman"/>
          <w:sz w:val="22"/>
          <w:szCs w:val="22"/>
          <w:lang w:val="lt-LT"/>
        </w:rPr>
      </w:pPr>
    </w:p>
    <w:p w:rsidR="00712AA7" w:rsidRPr="00C754A5" w:rsidRDefault="00712AA7" w:rsidP="00712AA7">
      <w:pPr>
        <w:autoSpaceDE w:val="0"/>
        <w:autoSpaceDN w:val="0"/>
        <w:adjustRightInd w:val="0"/>
        <w:spacing w:line="240" w:lineRule="auto"/>
        <w:rPr>
          <w:rFonts w:eastAsia="Arial"/>
          <w:b/>
          <w:color w:val="000000"/>
          <w:bdr w:val="nil"/>
          <w:lang w:val="lt-LT" w:eastAsia="fr-FR"/>
        </w:rPr>
      </w:pPr>
      <w:r w:rsidRPr="00C754A5">
        <w:rPr>
          <w:rFonts w:eastAsia="Arial"/>
          <w:bdr w:val="nil"/>
          <w:lang w:val="lt-LT" w:eastAsia="fr-FR"/>
        </w:rPr>
        <w:t>FERVEX granulių geriamajam tirpalui paketėlyje vaikams draudžiama vartoti vaikams iki 6 metų amžiaus.</w:t>
      </w:r>
    </w:p>
    <w:p w:rsidR="00712AA7" w:rsidRPr="00C754A5" w:rsidRDefault="00712AA7" w:rsidP="00712AA7">
      <w:pPr>
        <w:pStyle w:val="BodyText"/>
        <w:spacing w:after="0"/>
        <w:rPr>
          <w:color w:val="000000"/>
          <w:szCs w:val="22"/>
        </w:rPr>
      </w:pPr>
      <w:r w:rsidRPr="00C754A5">
        <w:rPr>
          <w:color w:val="000000"/>
          <w:szCs w:val="22"/>
        </w:rPr>
        <w:t>Siekiant išvengti perdozavimo reikia patikrinti, ar kitų Jūsų vaiko vartojamų vaistų, įskaitant nereceptinius, sudėtyje nėra paracetamolio ir (arba) feniramino ir (arba) askorbo rūgšties.</w:t>
      </w:r>
    </w:p>
    <w:p w:rsidR="00712AA7" w:rsidRPr="00C754A5" w:rsidRDefault="00712AA7" w:rsidP="00712AA7">
      <w:pPr>
        <w:pStyle w:val="BodyText"/>
        <w:spacing w:after="0"/>
        <w:rPr>
          <w:i/>
          <w:iCs/>
          <w:color w:val="000000"/>
          <w:szCs w:val="22"/>
        </w:rPr>
      </w:pPr>
    </w:p>
    <w:p w:rsidR="00712AA7" w:rsidRPr="00C754A5" w:rsidRDefault="00712AA7" w:rsidP="00712AA7">
      <w:pPr>
        <w:pStyle w:val="BodyText"/>
        <w:spacing w:after="0"/>
        <w:rPr>
          <w:i/>
          <w:iCs/>
          <w:color w:val="000000"/>
          <w:szCs w:val="22"/>
        </w:rPr>
      </w:pPr>
      <w:r w:rsidRPr="00C754A5">
        <w:rPr>
          <w:i/>
          <w:iCs/>
          <w:color w:val="000000"/>
          <w:szCs w:val="22"/>
        </w:rPr>
        <w:t>Senyviems pacientams</w:t>
      </w:r>
    </w:p>
    <w:p w:rsidR="00712AA7" w:rsidRDefault="00712AA7" w:rsidP="00712AA7">
      <w:pPr>
        <w:pStyle w:val="BodyText"/>
        <w:spacing w:after="0"/>
        <w:rPr>
          <w:color w:val="000000"/>
          <w:szCs w:val="22"/>
        </w:rPr>
      </w:pPr>
      <w:r w:rsidRPr="00C754A5">
        <w:rPr>
          <w:color w:val="000000"/>
          <w:szCs w:val="22"/>
        </w:rPr>
        <w:t>Dažniausiai dozės koreguoti nereikia.</w:t>
      </w:r>
      <w:r>
        <w:rPr>
          <w:color w:val="000000"/>
          <w:szCs w:val="22"/>
        </w:rPr>
        <w:t xml:space="preserve"> Vaistas skirtas vartoti vaikams ir paaugliams.</w:t>
      </w:r>
    </w:p>
    <w:p w:rsidR="00712AA7" w:rsidRPr="00C754A5" w:rsidRDefault="00712AA7" w:rsidP="00712AA7">
      <w:pPr>
        <w:pStyle w:val="BodyText"/>
        <w:spacing w:after="0"/>
        <w:rPr>
          <w:color w:val="000000"/>
          <w:szCs w:val="22"/>
        </w:rPr>
      </w:pPr>
    </w:p>
    <w:p w:rsidR="00712AA7" w:rsidRPr="00C754A5" w:rsidRDefault="00712AA7" w:rsidP="00712AA7">
      <w:pPr>
        <w:pStyle w:val="BodyText"/>
        <w:spacing w:after="0"/>
        <w:rPr>
          <w:i/>
          <w:iCs/>
          <w:color w:val="000000"/>
          <w:szCs w:val="22"/>
        </w:rPr>
      </w:pPr>
      <w:r w:rsidRPr="00C754A5">
        <w:rPr>
          <w:i/>
          <w:iCs/>
          <w:color w:val="000000"/>
          <w:szCs w:val="22"/>
        </w:rPr>
        <w:t>Pacientams, kurių kepenų funkcija sutrikusi</w:t>
      </w:r>
    </w:p>
    <w:p w:rsidR="00712AA7" w:rsidRPr="00C754A5" w:rsidRDefault="00712AA7" w:rsidP="00712AA7">
      <w:pPr>
        <w:pStyle w:val="AmmCorpsTexte"/>
        <w:spacing w:after="0"/>
        <w:rPr>
          <w:rFonts w:ascii="Times New Roman" w:eastAsia="Arial" w:hAnsi="Times New Roman"/>
          <w:sz w:val="22"/>
          <w:szCs w:val="22"/>
          <w:bdr w:val="nil"/>
          <w:lang w:val="lt-LT"/>
        </w:rPr>
      </w:pPr>
      <w:r w:rsidRPr="00C754A5">
        <w:rPr>
          <w:rFonts w:ascii="Times New Roman" w:eastAsia="Arial" w:hAnsi="Times New Roman"/>
          <w:sz w:val="22"/>
          <w:szCs w:val="22"/>
          <w:bdr w:val="nil"/>
          <w:lang w:val="lt-LT"/>
        </w:rPr>
        <w:t>Jeigu Jūsų vaikui reikia vartoti šio vaisto, prieš tai pasikonsultuokite su gydytoju arba vaistininku.</w:t>
      </w:r>
    </w:p>
    <w:p w:rsidR="00712AA7" w:rsidRPr="00C754A5" w:rsidRDefault="00712AA7" w:rsidP="00712AA7">
      <w:pPr>
        <w:pStyle w:val="BodyText"/>
        <w:spacing w:after="0"/>
        <w:rPr>
          <w:color w:val="000000"/>
          <w:szCs w:val="22"/>
        </w:rPr>
      </w:pPr>
      <w:r w:rsidRPr="00C754A5">
        <w:rPr>
          <w:color w:val="000000"/>
          <w:szCs w:val="22"/>
        </w:rPr>
        <w:t xml:space="preserve">Jeigu Jūsų vaikui yra lengvai ar vidutiniškai sutrikusi kepenų funkcija, FERVEX turite vartoti atsargiai, reikia vartoti </w:t>
      </w:r>
      <w:r w:rsidRPr="00C754A5">
        <w:rPr>
          <w:szCs w:val="22"/>
        </w:rPr>
        <w:t>mažiausią veiksmingą paracetamolio dozę, dėl kurios pasikonsultuokite su savo gydytoju arba vaistininku.</w:t>
      </w:r>
      <w:r w:rsidRPr="00C754A5">
        <w:rPr>
          <w:color w:val="000000"/>
          <w:szCs w:val="22"/>
        </w:rPr>
        <w:t xml:space="preserve"> Jeigu kepenų funkcija sunkiai sutrikusi arba Jūsų vaikas sergate aktyvia kepenų liga, tai FERVEX jam vartoti draudžiama.</w:t>
      </w:r>
    </w:p>
    <w:p w:rsidR="00712AA7" w:rsidRPr="00C754A5" w:rsidRDefault="00712AA7" w:rsidP="00712AA7">
      <w:pPr>
        <w:pStyle w:val="BodyText"/>
        <w:spacing w:after="0"/>
        <w:rPr>
          <w:color w:val="000000"/>
          <w:szCs w:val="22"/>
        </w:rPr>
      </w:pPr>
    </w:p>
    <w:p w:rsidR="00712AA7" w:rsidRPr="00C754A5" w:rsidRDefault="00712AA7" w:rsidP="00712AA7">
      <w:pPr>
        <w:pStyle w:val="BodyText"/>
        <w:spacing w:after="0"/>
        <w:rPr>
          <w:i/>
          <w:iCs/>
          <w:color w:val="000000"/>
          <w:szCs w:val="22"/>
        </w:rPr>
      </w:pPr>
      <w:r w:rsidRPr="00C754A5">
        <w:rPr>
          <w:i/>
          <w:iCs/>
          <w:color w:val="000000"/>
          <w:szCs w:val="22"/>
        </w:rPr>
        <w:t>Pacientams, kurių inkstų funkcija sutrikusi</w:t>
      </w:r>
    </w:p>
    <w:p w:rsidR="00712AA7" w:rsidRPr="00C754A5" w:rsidRDefault="00712AA7" w:rsidP="00712AA7">
      <w:pPr>
        <w:pStyle w:val="AmmCorpsTexte"/>
        <w:spacing w:after="0"/>
        <w:rPr>
          <w:rFonts w:ascii="Times New Roman" w:eastAsia="Arial" w:hAnsi="Times New Roman"/>
          <w:sz w:val="22"/>
          <w:szCs w:val="22"/>
          <w:bdr w:val="nil"/>
          <w:lang w:val="lt-LT"/>
        </w:rPr>
      </w:pPr>
      <w:r w:rsidRPr="00C754A5">
        <w:rPr>
          <w:rFonts w:ascii="Times New Roman" w:eastAsia="Arial" w:hAnsi="Times New Roman"/>
          <w:sz w:val="22"/>
          <w:szCs w:val="22"/>
          <w:bdr w:val="nil"/>
          <w:lang w:val="lt-LT"/>
        </w:rPr>
        <w:t>Didžiausia paracetamolio paros dozė neturi viršyti 60 mg/kg per parą.</w:t>
      </w:r>
    </w:p>
    <w:p w:rsidR="00712AA7" w:rsidRPr="00C754A5" w:rsidRDefault="00712AA7" w:rsidP="00712AA7">
      <w:pPr>
        <w:pStyle w:val="BodyText"/>
        <w:spacing w:after="0"/>
        <w:rPr>
          <w:color w:val="000000"/>
          <w:szCs w:val="22"/>
        </w:rPr>
      </w:pPr>
      <w:r w:rsidRPr="00C754A5">
        <w:rPr>
          <w:color w:val="000000"/>
          <w:szCs w:val="22"/>
        </w:rPr>
        <w:t>Jeigu sunkiai sutrikusi inkstų funkcija, šio vaisto galima vartoti ne dažniau kaip kas 8 val.</w:t>
      </w:r>
    </w:p>
    <w:p w:rsidR="00712AA7" w:rsidRDefault="00712AA7" w:rsidP="00712AA7">
      <w:pPr>
        <w:pStyle w:val="AmmCorpsTexteGras"/>
        <w:spacing w:after="0"/>
        <w:rPr>
          <w:rFonts w:ascii="Times New Roman" w:eastAsia="Arial" w:hAnsi="Times New Roman"/>
          <w:sz w:val="22"/>
          <w:szCs w:val="22"/>
          <w:bdr w:val="nil"/>
          <w:lang w:val="lt-LT"/>
        </w:rPr>
      </w:pPr>
    </w:p>
    <w:p w:rsidR="00712AA7" w:rsidRPr="005541AA" w:rsidRDefault="00712AA7" w:rsidP="00712AA7">
      <w:pPr>
        <w:pStyle w:val="AmmCorpsTexteGras"/>
        <w:spacing w:after="0"/>
        <w:rPr>
          <w:rFonts w:ascii="Times New Roman" w:hAnsi="Times New Roman"/>
          <w:sz w:val="22"/>
          <w:szCs w:val="22"/>
          <w:lang w:val="lt-LT"/>
        </w:rPr>
      </w:pPr>
      <w:r w:rsidRPr="00B92CD7">
        <w:rPr>
          <w:rFonts w:ascii="Times New Roman" w:eastAsia="Arial" w:hAnsi="Times New Roman"/>
          <w:sz w:val="22"/>
          <w:szCs w:val="22"/>
          <w:bdr w:val="nil"/>
          <w:lang w:val="lt-LT"/>
        </w:rPr>
        <w:t>Vartojimo trukmė</w:t>
      </w:r>
    </w:p>
    <w:p w:rsidR="00712AA7" w:rsidRPr="006A041B" w:rsidRDefault="00712AA7" w:rsidP="00712AA7">
      <w:pPr>
        <w:autoSpaceDE w:val="0"/>
        <w:autoSpaceDN w:val="0"/>
        <w:adjustRightInd w:val="0"/>
        <w:spacing w:line="240" w:lineRule="auto"/>
        <w:rPr>
          <w:rFonts w:eastAsia="Arial"/>
          <w:bdr w:val="nil"/>
          <w:lang w:val="lt-LT" w:eastAsia="fr-FR"/>
        </w:rPr>
      </w:pPr>
      <w:r w:rsidRPr="005541AA">
        <w:rPr>
          <w:rFonts w:eastAsia="Arial"/>
          <w:bdr w:val="nil"/>
          <w:lang w:val="lt-LT" w:eastAsia="fr-FR"/>
        </w:rPr>
        <w:t>Šio vaist</w:t>
      </w:r>
      <w:r w:rsidRPr="006A041B">
        <w:rPr>
          <w:rFonts w:eastAsia="Arial"/>
          <w:bdr w:val="nil"/>
          <w:lang w:val="lt-LT" w:eastAsia="fr-FR"/>
        </w:rPr>
        <w:t>o galima vartoti ne ilgiau kaip 3 dienas.</w:t>
      </w:r>
    </w:p>
    <w:p w:rsidR="00712AA7" w:rsidRPr="006A041B" w:rsidRDefault="00712AA7" w:rsidP="00712AA7">
      <w:pPr>
        <w:suppressAutoHyphens/>
        <w:spacing w:line="240" w:lineRule="auto"/>
        <w:rPr>
          <w:rFonts w:eastAsia="Times New Roman"/>
          <w:color w:val="000000"/>
          <w:lang w:val="lt-LT" w:eastAsia="zh-CN"/>
        </w:rPr>
      </w:pPr>
    </w:p>
    <w:p w:rsidR="00712AA7" w:rsidRPr="005541AA" w:rsidRDefault="00712AA7" w:rsidP="00712AA7">
      <w:pPr>
        <w:pStyle w:val="AmmCorpsTexte"/>
        <w:spacing w:after="0"/>
        <w:jc w:val="left"/>
        <w:rPr>
          <w:rFonts w:ascii="Times New Roman" w:eastAsia="Arial" w:hAnsi="Times New Roman"/>
          <w:sz w:val="22"/>
          <w:szCs w:val="22"/>
          <w:bdr w:val="nil"/>
          <w:lang w:val="lt-LT"/>
        </w:rPr>
      </w:pPr>
      <w:r w:rsidRPr="0079162D">
        <w:rPr>
          <w:rFonts w:ascii="Times New Roman" w:eastAsia="Arial" w:hAnsi="Times New Roman"/>
          <w:sz w:val="22"/>
          <w:szCs w:val="22"/>
          <w:bdr w:val="nil"/>
          <w:lang w:val="lt-LT"/>
        </w:rPr>
        <w:t>Jeigu šio vaisto reikia vartoti pacientui, turinčiam sutrikusią</w:t>
      </w:r>
      <w:r w:rsidRPr="0042105E">
        <w:rPr>
          <w:rFonts w:ascii="Times New Roman" w:eastAsia="Arial" w:hAnsi="Times New Roman"/>
          <w:sz w:val="22"/>
          <w:szCs w:val="22"/>
          <w:bdr w:val="nil"/>
          <w:lang w:val="lt-LT"/>
        </w:rPr>
        <w:t xml:space="preserve"> inkstų ar kepenų funkciją arba sergančiam Žilberto sindromu (šeimine nehemolizine gelta</w:t>
      </w:r>
      <w:r w:rsidRPr="00B92CD7">
        <w:rPr>
          <w:rFonts w:ascii="Times New Roman" w:eastAsia="Arial" w:hAnsi="Times New Roman"/>
          <w:sz w:val="22"/>
          <w:szCs w:val="22"/>
          <w:bdr w:val="nil"/>
          <w:lang w:val="lt-LT"/>
        </w:rPr>
        <w:t xml:space="preserve">), </w:t>
      </w:r>
      <w:r w:rsidRPr="005541AA">
        <w:rPr>
          <w:rFonts w:ascii="Times New Roman" w:eastAsia="Arial" w:hAnsi="Times New Roman"/>
          <w:sz w:val="22"/>
          <w:szCs w:val="22"/>
          <w:bdr w:val="nil"/>
          <w:lang w:val="lt-LT"/>
        </w:rPr>
        <w:t>prieš tai būtina pasikonsultuoti su gydytoju arba vaistininku.</w:t>
      </w:r>
    </w:p>
    <w:p w:rsidR="00712AA7" w:rsidRPr="005541AA" w:rsidRDefault="00712AA7" w:rsidP="00712AA7">
      <w:pPr>
        <w:suppressAutoHyphens/>
        <w:spacing w:line="240" w:lineRule="auto"/>
        <w:rPr>
          <w:rFonts w:eastAsia="Times New Roman"/>
          <w:color w:val="000000"/>
          <w:lang w:val="lt-LT" w:eastAsia="zh-CN"/>
        </w:rPr>
      </w:pPr>
    </w:p>
    <w:p w:rsidR="00712AA7" w:rsidRPr="006A041B" w:rsidRDefault="00712AA7" w:rsidP="00712AA7">
      <w:pPr>
        <w:suppressAutoHyphens/>
        <w:spacing w:line="240" w:lineRule="auto"/>
        <w:rPr>
          <w:rFonts w:eastAsia="Times New Roman"/>
          <w:b/>
          <w:bCs/>
          <w:color w:val="000000"/>
          <w:lang w:val="lt-LT" w:eastAsia="zh-CN"/>
        </w:rPr>
      </w:pPr>
      <w:r w:rsidRPr="006A041B">
        <w:rPr>
          <w:rFonts w:eastAsia="Times New Roman"/>
          <w:b/>
          <w:bCs/>
          <w:color w:val="000000"/>
          <w:lang w:val="lt-LT" w:eastAsia="zh-CN"/>
        </w:rPr>
        <w:t>Vartojimo metodas</w:t>
      </w:r>
    </w:p>
    <w:p w:rsidR="00712AA7" w:rsidRPr="006A041B" w:rsidRDefault="00712AA7" w:rsidP="00712AA7">
      <w:pPr>
        <w:suppressAutoHyphens/>
        <w:spacing w:line="240" w:lineRule="auto"/>
        <w:rPr>
          <w:rFonts w:eastAsia="Times New Roman"/>
          <w:color w:val="000000"/>
          <w:lang w:val="lt-LT" w:eastAsia="zh-CN"/>
        </w:rPr>
      </w:pPr>
      <w:r w:rsidRPr="006A041B">
        <w:rPr>
          <w:rFonts w:eastAsia="Times New Roman"/>
          <w:color w:val="000000"/>
          <w:lang w:val="lt-LT" w:eastAsia="zh-CN"/>
        </w:rPr>
        <w:t>Vartoti per burną.</w:t>
      </w:r>
    </w:p>
    <w:p w:rsidR="00712AA7" w:rsidRPr="006A041B" w:rsidRDefault="00712AA7" w:rsidP="00712AA7">
      <w:pPr>
        <w:suppressAutoHyphens/>
        <w:spacing w:line="240" w:lineRule="auto"/>
        <w:rPr>
          <w:rFonts w:eastAsia="Times New Roman"/>
          <w:color w:val="000000"/>
          <w:lang w:val="lt-LT" w:eastAsia="zh-CN"/>
        </w:rPr>
      </w:pPr>
      <w:r w:rsidRPr="006A041B">
        <w:rPr>
          <w:rFonts w:eastAsia="Times New Roman"/>
          <w:color w:val="000000"/>
          <w:lang w:val="lt-LT" w:eastAsia="zh-CN"/>
        </w:rPr>
        <w:t>Prieš vartojant granules reikia ištirpinti pakankamame kiekyje karšto arba šalto vandens.</w:t>
      </w:r>
    </w:p>
    <w:p w:rsidR="00712AA7" w:rsidRPr="0079162D" w:rsidRDefault="00712AA7" w:rsidP="00712AA7">
      <w:pPr>
        <w:suppressAutoHyphens/>
        <w:spacing w:line="240" w:lineRule="auto"/>
        <w:rPr>
          <w:rFonts w:eastAsia="Times New Roman"/>
          <w:color w:val="000000"/>
          <w:lang w:val="lt-LT" w:eastAsia="zh-CN"/>
        </w:rPr>
      </w:pPr>
    </w:p>
    <w:p w:rsidR="00712AA7" w:rsidRPr="0079162D"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79162D">
        <w:rPr>
          <w:rFonts w:eastAsia="Times New Roman"/>
          <w:b/>
          <w:color w:val="000000"/>
          <w:lang w:val="lt-LT" w:eastAsia="zh-CN"/>
        </w:rPr>
        <w:t>Ką daryti pavartojus per didelę FERVEX dozę?</w:t>
      </w:r>
    </w:p>
    <w:p w:rsidR="00712AA7" w:rsidRPr="0079162D" w:rsidRDefault="00712AA7" w:rsidP="00712AA7">
      <w:pPr>
        <w:pStyle w:val="BodyText"/>
        <w:spacing w:after="0"/>
        <w:rPr>
          <w:color w:val="000000"/>
          <w:szCs w:val="22"/>
        </w:rPr>
      </w:pPr>
      <w:r w:rsidRPr="0079162D">
        <w:rPr>
          <w:color w:val="000000"/>
          <w:szCs w:val="22"/>
        </w:rPr>
        <w:t>Vaikui išgėrus per didelę FERVEX dozę, reikia nedelsiant nutraukti šio vaisto vartojimą ir kreiptis į gydytoją arba ligoninės skubiosios pagalbos skyrių. Perdozavimas gali būti mirtinas.</w:t>
      </w:r>
    </w:p>
    <w:p w:rsidR="00712AA7" w:rsidRPr="0079162D" w:rsidRDefault="00712AA7" w:rsidP="00712AA7">
      <w:pPr>
        <w:pStyle w:val="BodyText"/>
        <w:spacing w:after="0"/>
        <w:rPr>
          <w:color w:val="000000"/>
          <w:szCs w:val="22"/>
        </w:rPr>
      </w:pPr>
    </w:p>
    <w:p w:rsidR="00712AA7" w:rsidRPr="0042105E" w:rsidRDefault="00712AA7" w:rsidP="00712AA7">
      <w:pPr>
        <w:suppressAutoHyphens/>
        <w:spacing w:line="240" w:lineRule="auto"/>
        <w:rPr>
          <w:rFonts w:eastAsia="Times New Roman"/>
          <w:color w:val="000000"/>
          <w:lang w:val="lt-LT" w:eastAsia="zh-CN"/>
        </w:rPr>
      </w:pPr>
      <w:r w:rsidRPr="0079162D">
        <w:rPr>
          <w:rFonts w:eastAsia="Times New Roman"/>
          <w:color w:val="000000"/>
          <w:lang w:val="lt-LT" w:eastAsia="zh-CN"/>
        </w:rPr>
        <w:t>Perdozavus paracetamolio gali</w:t>
      </w:r>
      <w:r w:rsidRPr="0042105E">
        <w:rPr>
          <w:rFonts w:eastAsia="Times New Roman"/>
          <w:color w:val="000000"/>
          <w:lang w:val="lt-LT" w:eastAsia="zh-CN"/>
        </w:rPr>
        <w:t>ma sukelti sunkų kepenų pažeidimą ir mirtį. Perdozavimo simptomų paprastai atsiranda per pirmąsias 24 val. Dažniausiai tai būna pykinimas, vėmimas, apetito stoka, prakaitavimas, blyškumas ir bloga savijauta. Perdozavus feniramino galima sukelti traukulių, sąmonės sutrikimų ir jos netekimą (komą).</w:t>
      </w:r>
    </w:p>
    <w:p w:rsidR="00712AA7" w:rsidRPr="0042105E" w:rsidRDefault="00712AA7" w:rsidP="00712AA7">
      <w:pPr>
        <w:suppressAutoHyphens/>
        <w:spacing w:line="240" w:lineRule="auto"/>
        <w:rPr>
          <w:rFonts w:eastAsia="Times New Roman"/>
          <w:color w:val="000000"/>
          <w:lang w:val="lt-LT" w:eastAsia="zh-CN"/>
        </w:rPr>
      </w:pPr>
    </w:p>
    <w:p w:rsidR="00712AA7" w:rsidRPr="00864D02"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864D02">
        <w:rPr>
          <w:rFonts w:eastAsia="Times New Roman"/>
          <w:b/>
          <w:color w:val="000000"/>
          <w:lang w:val="lt-LT" w:eastAsia="zh-CN"/>
        </w:rPr>
        <w:t>Pamiršus pavartoti FERVEX</w:t>
      </w:r>
    </w:p>
    <w:p w:rsidR="00712AA7" w:rsidRPr="00864D02" w:rsidRDefault="00712AA7" w:rsidP="00712AA7">
      <w:pPr>
        <w:suppressAutoHyphens/>
        <w:spacing w:line="240" w:lineRule="auto"/>
        <w:rPr>
          <w:rFonts w:eastAsia="Times New Roman"/>
          <w:color w:val="000000"/>
          <w:lang w:val="lt-LT" w:eastAsia="zh-CN"/>
        </w:rPr>
      </w:pPr>
      <w:r w:rsidRPr="00864D02">
        <w:rPr>
          <w:rFonts w:eastAsia="Times New Roman"/>
          <w:color w:val="000000"/>
          <w:lang w:val="lt-LT" w:eastAsia="zh-CN"/>
        </w:rPr>
        <w:t>Nerimauti nereikia. Negalima vartoti dvigubos dozės norint kompensuoti praleistą dozę.</w:t>
      </w:r>
    </w:p>
    <w:p w:rsidR="00712AA7" w:rsidRPr="00864D02" w:rsidRDefault="00712AA7" w:rsidP="00712AA7">
      <w:pPr>
        <w:suppressAutoHyphens/>
        <w:spacing w:line="240" w:lineRule="auto"/>
        <w:rPr>
          <w:rFonts w:eastAsia="Times New Roman"/>
          <w:color w:val="000000"/>
          <w:lang w:val="lt-LT" w:eastAsia="zh-CN"/>
        </w:rPr>
      </w:pPr>
    </w:p>
    <w:p w:rsidR="00712AA7" w:rsidRPr="00864D02"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864D02">
        <w:rPr>
          <w:rFonts w:eastAsia="Times New Roman"/>
          <w:b/>
          <w:color w:val="000000"/>
          <w:lang w:val="lt-LT" w:eastAsia="zh-CN"/>
        </w:rPr>
        <w:t>Nustojus vartoti FERVEX</w:t>
      </w:r>
    </w:p>
    <w:p w:rsidR="00712AA7" w:rsidRPr="00864D02" w:rsidRDefault="00712AA7" w:rsidP="00712AA7">
      <w:pPr>
        <w:suppressAutoHyphens/>
        <w:spacing w:line="240" w:lineRule="auto"/>
        <w:rPr>
          <w:rFonts w:eastAsia="Times New Roman"/>
          <w:b/>
          <w:color w:val="000000"/>
          <w:lang w:val="lt-LT" w:eastAsia="zh-CN"/>
        </w:rPr>
      </w:pPr>
      <w:r w:rsidRPr="00864D02">
        <w:rPr>
          <w:rFonts w:eastAsia="Times New Roman"/>
          <w:color w:val="000000"/>
          <w:lang w:val="lt-LT" w:eastAsia="zh-CN"/>
        </w:rPr>
        <w:t>Fervex vartojimo nutraukimas problemų nekelia.</w:t>
      </w:r>
    </w:p>
    <w:p w:rsidR="00712AA7" w:rsidRPr="00C754A5" w:rsidRDefault="00712AA7" w:rsidP="00712AA7">
      <w:pPr>
        <w:suppressAutoHyphens/>
        <w:spacing w:line="240" w:lineRule="auto"/>
        <w:rPr>
          <w:rFonts w:eastAsia="Times New Roman"/>
          <w:color w:val="000000"/>
          <w:lang w:val="lt-LT" w:eastAsia="zh-CN"/>
        </w:rPr>
      </w:pPr>
    </w:p>
    <w:p w:rsidR="00712AA7" w:rsidRPr="00C754A5" w:rsidRDefault="00712AA7" w:rsidP="00712AA7">
      <w:pPr>
        <w:suppressAutoHyphens/>
        <w:spacing w:line="240" w:lineRule="auto"/>
        <w:rPr>
          <w:rFonts w:eastAsia="Times New Roman"/>
          <w:color w:val="000000"/>
          <w:lang w:val="lt-LT" w:eastAsia="zh-CN"/>
        </w:rPr>
      </w:pPr>
      <w:r w:rsidRPr="00C754A5">
        <w:rPr>
          <w:rFonts w:eastAsia="Times New Roman"/>
          <w:color w:val="000000"/>
          <w:lang w:val="lt-LT" w:eastAsia="zh-CN"/>
        </w:rPr>
        <w:t>Jeigu kiltų daugiau klausimų dėl šio vaisto vartojimo, kreipkitės į gydytoją arba vaistininką.</w:t>
      </w:r>
    </w:p>
    <w:p w:rsidR="00712AA7" w:rsidRPr="00C754A5" w:rsidRDefault="00712AA7" w:rsidP="00712AA7">
      <w:pPr>
        <w:suppressAutoHyphens/>
        <w:spacing w:line="240" w:lineRule="auto"/>
        <w:rPr>
          <w:rFonts w:eastAsia="Times New Roman"/>
          <w:color w:val="000000"/>
          <w:lang w:val="lt-LT" w:eastAsia="zh-CN"/>
        </w:rPr>
      </w:pPr>
    </w:p>
    <w:p w:rsidR="00712AA7" w:rsidRPr="00C754A5" w:rsidRDefault="00712AA7" w:rsidP="00712AA7">
      <w:pPr>
        <w:suppressAutoHyphens/>
        <w:spacing w:line="240" w:lineRule="auto"/>
        <w:rPr>
          <w:rFonts w:eastAsia="Times New Roman"/>
          <w:color w:val="000000"/>
          <w:lang w:val="lt-LT" w:eastAsia="zh-CN"/>
        </w:rPr>
      </w:pPr>
    </w:p>
    <w:p w:rsidR="00712AA7" w:rsidRPr="00B92CD7" w:rsidRDefault="00712AA7" w:rsidP="00712AA7">
      <w:pPr>
        <w:keepNext/>
        <w:numPr>
          <w:ilvl w:val="1"/>
          <w:numId w:val="0"/>
        </w:numPr>
        <w:tabs>
          <w:tab w:val="num" w:pos="0"/>
        </w:tabs>
        <w:suppressAutoHyphens/>
        <w:spacing w:line="240" w:lineRule="auto"/>
        <w:ind w:left="576" w:hanging="576"/>
        <w:outlineLvl w:val="1"/>
        <w:rPr>
          <w:rFonts w:eastAsia="Times New Roman"/>
          <w:b/>
          <w:color w:val="000000"/>
          <w:lang w:val="lt-LT" w:eastAsia="zh-CN"/>
        </w:rPr>
      </w:pPr>
      <w:r w:rsidRPr="00C754A5">
        <w:rPr>
          <w:rFonts w:eastAsia="Times New Roman"/>
          <w:b/>
          <w:color w:val="000000"/>
          <w:lang w:val="lt-LT" w:eastAsia="zh-CN"/>
        </w:rPr>
        <w:t>4.</w:t>
      </w:r>
      <w:r w:rsidRPr="00C754A5">
        <w:rPr>
          <w:rFonts w:eastAsia="Times New Roman"/>
          <w:b/>
          <w:color w:val="000000"/>
          <w:lang w:val="lt-LT" w:eastAsia="zh-CN"/>
        </w:rPr>
        <w:tab/>
        <w:t>Galimas šalutinis poveikis</w:t>
      </w:r>
    </w:p>
    <w:p w:rsidR="00712AA7" w:rsidRPr="00B92CD7" w:rsidRDefault="00712AA7" w:rsidP="00712AA7">
      <w:pPr>
        <w:suppressAutoHyphens/>
        <w:spacing w:line="240" w:lineRule="auto"/>
        <w:rPr>
          <w:rFonts w:eastAsia="Times New Roman"/>
          <w:color w:val="000000"/>
          <w:lang w:val="lt-LT" w:eastAsia="zh-CN"/>
        </w:rPr>
      </w:pPr>
    </w:p>
    <w:p w:rsidR="00712AA7" w:rsidRPr="005541AA" w:rsidRDefault="00712AA7" w:rsidP="00712AA7">
      <w:pPr>
        <w:suppressAutoHyphens/>
        <w:spacing w:line="240" w:lineRule="auto"/>
        <w:rPr>
          <w:rFonts w:eastAsia="Times New Roman"/>
          <w:color w:val="000000"/>
          <w:lang w:val="lt-LT" w:bidi="lo-LA"/>
        </w:rPr>
      </w:pPr>
      <w:r w:rsidRPr="005541AA">
        <w:rPr>
          <w:rFonts w:eastAsia="Times New Roman"/>
          <w:color w:val="000000"/>
          <w:lang w:val="lt-LT" w:bidi="lo-LA"/>
        </w:rPr>
        <w:t>Šis vaistas, kaip ir visi kiti, gali sukelti šalutinį poveikį, nors jis pasireiškia ne visiems žmonėms.</w:t>
      </w:r>
    </w:p>
    <w:p w:rsidR="00712AA7" w:rsidRPr="005541AA" w:rsidRDefault="00712AA7" w:rsidP="00712AA7">
      <w:pPr>
        <w:suppressAutoHyphens/>
        <w:spacing w:line="240" w:lineRule="auto"/>
        <w:rPr>
          <w:rFonts w:eastAsia="Times New Roman"/>
          <w:color w:val="000000"/>
          <w:lang w:val="lt-LT" w:eastAsia="zh-CN"/>
        </w:rPr>
      </w:pPr>
    </w:p>
    <w:p w:rsidR="00712AA7" w:rsidRPr="005541AA" w:rsidRDefault="00712AA7" w:rsidP="00712AA7">
      <w:pPr>
        <w:suppressAutoHyphens/>
        <w:spacing w:line="240" w:lineRule="auto"/>
        <w:rPr>
          <w:rFonts w:eastAsia="Times New Roman"/>
          <w:color w:val="000000"/>
          <w:lang w:val="lt-LT" w:bidi="lo-LA"/>
        </w:rPr>
      </w:pPr>
      <w:r w:rsidRPr="005541AA">
        <w:rPr>
          <w:rFonts w:eastAsia="Times New Roman"/>
          <w:color w:val="000000"/>
          <w:lang w:val="lt-LT" w:bidi="lo-LA"/>
        </w:rPr>
        <w:t>Nedelsdami pasakykite gydytojui, jeigu pastebėtumėte kurį nors iš šių sutrikimų:</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veido, liežuvio arba gerklės patinimą;</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alpimą;</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pasunkėjusį kvėpavimą ar rijimą.</w:t>
      </w:r>
    </w:p>
    <w:p w:rsidR="00712AA7" w:rsidRPr="006A041B" w:rsidRDefault="00712AA7" w:rsidP="00712AA7">
      <w:pPr>
        <w:suppressAutoHyphens/>
        <w:spacing w:line="240" w:lineRule="auto"/>
        <w:rPr>
          <w:rFonts w:eastAsia="Times New Roman"/>
          <w:color w:val="000000"/>
          <w:lang w:val="lt-LT" w:eastAsia="zh-CN"/>
        </w:rPr>
      </w:pPr>
    </w:p>
    <w:p w:rsidR="00712AA7" w:rsidRPr="0079162D" w:rsidRDefault="00712AA7" w:rsidP="00712AA7">
      <w:pPr>
        <w:keepNext/>
        <w:suppressAutoHyphens/>
        <w:spacing w:line="240" w:lineRule="auto"/>
        <w:rPr>
          <w:rFonts w:eastAsia="Times New Roman"/>
          <w:color w:val="000000"/>
          <w:u w:val="single"/>
          <w:lang w:val="lt-LT" w:eastAsia="zh-CN"/>
        </w:rPr>
      </w:pPr>
      <w:r w:rsidRPr="0079162D">
        <w:rPr>
          <w:rFonts w:eastAsia="Times New Roman"/>
          <w:color w:val="000000"/>
          <w:u w:val="single"/>
          <w:lang w:val="lt-LT" w:eastAsia="zh-CN"/>
        </w:rPr>
        <w:t>Šalutinių poveikių sąrašas</w:t>
      </w:r>
    </w:p>
    <w:p w:rsidR="00712AA7" w:rsidRPr="00871FC6" w:rsidRDefault="00712AA7" w:rsidP="00712AA7">
      <w:pPr>
        <w:pStyle w:val="EMEABodyText"/>
        <w:keepNext/>
        <w:rPr>
          <w:bCs/>
          <w:i/>
          <w:iCs/>
          <w:color w:val="000000"/>
          <w:szCs w:val="22"/>
          <w:u w:val="single"/>
        </w:rPr>
      </w:pPr>
      <w:r w:rsidRPr="0079162D">
        <w:rPr>
          <w:bCs/>
          <w:i/>
          <w:iCs/>
          <w:color w:val="000000"/>
          <w:szCs w:val="22"/>
          <w:u w:val="single"/>
        </w:rPr>
        <w:t>Susiję su paracetamoliu</w:t>
      </w:r>
    </w:p>
    <w:p w:rsidR="00712AA7" w:rsidRPr="00B92CD7" w:rsidRDefault="00712AA7" w:rsidP="00712AA7">
      <w:pPr>
        <w:keepNext/>
        <w:suppressAutoHyphens/>
        <w:spacing w:line="240" w:lineRule="auto"/>
        <w:rPr>
          <w:rFonts w:eastAsia="Times New Roman"/>
          <w:i/>
          <w:iCs/>
          <w:color w:val="000000"/>
          <w:lang w:val="lt-LT" w:eastAsia="zh-CN"/>
        </w:rPr>
      </w:pPr>
      <w:r w:rsidRPr="00B92CD7">
        <w:rPr>
          <w:i/>
          <w:iCs/>
          <w:noProof/>
        </w:rPr>
        <w:t>Reti šalutinio poveikio reiškiniai (gali pasireikšti rečiau kaip 1 iš 1 000 asmenų):</w:t>
      </w:r>
    </w:p>
    <w:p w:rsidR="00712AA7" w:rsidRPr="005541AA"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alerginės reakcijos: odos išbėrimas, dilgėlinė, niežulys, paraudimas, mažos raudonos dėmelės, veido, liežuvio ar gerklės patinimas, pasunkėjęs kvėpavimas ar rijimas, alpimas, anafilaksinis šokas.</w:t>
      </w:r>
    </w:p>
    <w:p w:rsidR="00712AA7" w:rsidRPr="005541AA" w:rsidRDefault="00712AA7" w:rsidP="00712AA7">
      <w:pPr>
        <w:suppressAutoHyphens/>
        <w:spacing w:line="240" w:lineRule="auto"/>
        <w:ind w:right="-29"/>
        <w:rPr>
          <w:rFonts w:eastAsia="Times New Roman"/>
          <w:color w:val="000000"/>
          <w:lang w:val="lt-LT" w:eastAsia="zh-CN"/>
        </w:rPr>
      </w:pPr>
    </w:p>
    <w:p w:rsidR="00712AA7" w:rsidRPr="006A041B" w:rsidRDefault="00712AA7" w:rsidP="00712AA7">
      <w:pPr>
        <w:keepNext/>
        <w:suppressAutoHyphens/>
        <w:spacing w:line="240" w:lineRule="auto"/>
        <w:rPr>
          <w:rFonts w:eastAsia="Times New Roman"/>
          <w:i/>
          <w:iCs/>
          <w:color w:val="000000"/>
          <w:lang w:val="lt-LT" w:eastAsia="zh-CN"/>
        </w:rPr>
      </w:pPr>
      <w:r w:rsidRPr="005541AA">
        <w:rPr>
          <w:i/>
          <w:iCs/>
          <w:noProof/>
        </w:rPr>
        <w:t>Labai reti šalutinio poveikio reiškiniai (gali pasireikšti rečiau kaip 1 iš 10 000 asmenų):</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sumažėjęs raudonųjų kraujo kūnelių, baltųjų kraujo kūnelių ar kraujo plokštelių (trombocitų) kiekis;</w:t>
      </w:r>
    </w:p>
    <w:p w:rsidR="00712AA7" w:rsidRPr="0079162D" w:rsidRDefault="00712AA7" w:rsidP="00712AA7">
      <w:pPr>
        <w:pStyle w:val="EMEABodyTextIndent"/>
        <w:numPr>
          <w:ilvl w:val="0"/>
          <w:numId w:val="2"/>
        </w:numPr>
        <w:ind w:left="567" w:hanging="567"/>
      </w:pPr>
      <w:r w:rsidRPr="006A041B">
        <w:t>sunkios odos reakcij</w:t>
      </w:r>
      <w:r w:rsidRPr="0079162D">
        <w:t>os (jų pasireiškus reikia nutraukti šio vaistinio preparato vartojimą);</w:t>
      </w:r>
    </w:p>
    <w:p w:rsidR="00712AA7" w:rsidRPr="0079162D"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79162D">
        <w:rPr>
          <w:rFonts w:eastAsia="Times New Roman"/>
          <w:snapToGrid/>
          <w:color w:val="000000"/>
          <w:szCs w:val="22"/>
          <w:lang w:val="lt-LT" w:eastAsia="zh-CN"/>
        </w:rPr>
        <w:t>inkstų sutrikimai (ilgai vartojant skausmą malšinančių vaistų).</w:t>
      </w:r>
    </w:p>
    <w:p w:rsidR="00712AA7" w:rsidRPr="0079162D" w:rsidRDefault="00712AA7" w:rsidP="00712AA7">
      <w:pPr>
        <w:suppressAutoHyphens/>
        <w:spacing w:line="240" w:lineRule="auto"/>
        <w:ind w:right="-29"/>
        <w:rPr>
          <w:rFonts w:eastAsia="Times New Roman"/>
          <w:color w:val="000000"/>
          <w:lang w:val="lt-LT" w:eastAsia="zh-CN"/>
        </w:rPr>
      </w:pPr>
    </w:p>
    <w:p w:rsidR="00712AA7" w:rsidRDefault="00712AA7" w:rsidP="00712AA7">
      <w:pPr>
        <w:keepNext/>
        <w:suppressAutoHyphens/>
        <w:spacing w:line="240" w:lineRule="auto"/>
        <w:rPr>
          <w:i/>
          <w:iCs/>
          <w:noProof/>
        </w:rPr>
      </w:pPr>
      <w:r w:rsidRPr="0079162D">
        <w:rPr>
          <w:i/>
          <w:iCs/>
          <w:noProof/>
        </w:rPr>
        <w:t>Šalutinio poveikio reiškiniai, kurių dažnis nežinomas (negali būti apskaičiuotas pagal turimus duomenis):</w:t>
      </w:r>
    </w:p>
    <w:p w:rsidR="00712AA7" w:rsidRPr="0079162D"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79162D">
        <w:rPr>
          <w:rFonts w:eastAsia="Times New Roman"/>
          <w:snapToGrid/>
          <w:color w:val="000000"/>
          <w:szCs w:val="22"/>
          <w:lang w:val="lt-LT" w:eastAsia="zh-CN"/>
        </w:rPr>
        <w:t>virškinimo sutrikimai: pilvo skausmas, viduriavimas ar vidurių užkietėjimas;</w:t>
      </w:r>
    </w:p>
    <w:p w:rsidR="00712AA7" w:rsidRPr="0042105E"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79162D">
        <w:rPr>
          <w:rFonts w:eastAsia="Times New Roman"/>
          <w:snapToGrid/>
          <w:color w:val="000000"/>
          <w:szCs w:val="22"/>
          <w:lang w:val="lt-LT" w:eastAsia="zh-CN"/>
        </w:rPr>
        <w:t>padidėjęs kepenų fermentų aktyvumas.</w:t>
      </w:r>
    </w:p>
    <w:p w:rsidR="00712AA7" w:rsidRPr="0042105E" w:rsidRDefault="00712AA7" w:rsidP="00712AA7">
      <w:pPr>
        <w:pStyle w:val="EMEABodyText"/>
        <w:rPr>
          <w:i/>
          <w:iCs/>
          <w:u w:val="single"/>
        </w:rPr>
      </w:pPr>
    </w:p>
    <w:p w:rsidR="00712AA7" w:rsidRPr="0042105E" w:rsidRDefault="00712AA7" w:rsidP="00712AA7">
      <w:pPr>
        <w:pStyle w:val="EMEABodyText"/>
        <w:rPr>
          <w:i/>
          <w:iCs/>
          <w:u w:val="single"/>
        </w:rPr>
      </w:pPr>
      <w:r w:rsidRPr="0042105E">
        <w:rPr>
          <w:i/>
          <w:iCs/>
          <w:u w:val="single"/>
        </w:rPr>
        <w:t>Susiję su fen</w:t>
      </w:r>
      <w:r>
        <w:rPr>
          <w:i/>
          <w:iCs/>
          <w:u w:val="single"/>
        </w:rPr>
        <w:t>i</w:t>
      </w:r>
      <w:r w:rsidRPr="0042105E">
        <w:rPr>
          <w:i/>
          <w:iCs/>
          <w:u w:val="single"/>
        </w:rPr>
        <w:t>raminu</w:t>
      </w:r>
    </w:p>
    <w:p w:rsidR="00712AA7" w:rsidRPr="0042105E" w:rsidRDefault="00712AA7" w:rsidP="00712AA7">
      <w:pPr>
        <w:pStyle w:val="EMEABodyText"/>
        <w:rPr>
          <w:i/>
          <w:iCs/>
        </w:rPr>
      </w:pPr>
      <w:r w:rsidRPr="0042105E">
        <w:rPr>
          <w:i/>
          <w:iCs/>
          <w:noProof/>
          <w:snapToGrid w:val="0"/>
          <w:szCs w:val="22"/>
        </w:rPr>
        <w:t>Reti šalutinio poveikio reiškiniai (gali pasireikšti rečiau kaip 1 iš 1 000 asmenų):</w:t>
      </w:r>
    </w:p>
    <w:p w:rsidR="00712AA7" w:rsidRPr="0042105E" w:rsidRDefault="00712AA7" w:rsidP="00712AA7">
      <w:pPr>
        <w:pStyle w:val="EMEABodyTextIndent"/>
        <w:numPr>
          <w:ilvl w:val="0"/>
          <w:numId w:val="3"/>
        </w:numPr>
        <w:ind w:left="567" w:hanging="567"/>
      </w:pPr>
      <w:r w:rsidRPr="0042105E">
        <w:t>eritema (raudonas bėrimas), niežėjimas, egzema (niežtintis bėrimas), purpura, dilgėlinė, edema (odos patinimas), angioedema (</w:t>
      </w:r>
      <w:r w:rsidRPr="0042105E">
        <w:rPr>
          <w:szCs w:val="22"/>
        </w:rPr>
        <w:t>patinimai veido srityje</w:t>
      </w:r>
      <w:r w:rsidRPr="0042105E">
        <w:rPr>
          <w:color w:val="000000"/>
          <w:szCs w:val="22"/>
          <w:shd w:val="clear" w:color="auto" w:fill="FFFFFF"/>
        </w:rPr>
        <w:t>)</w:t>
      </w:r>
      <w:r w:rsidRPr="0042105E">
        <w:rPr>
          <w:szCs w:val="22"/>
        </w:rPr>
        <w:t>,</w:t>
      </w:r>
      <w:r w:rsidRPr="0042105E">
        <w:t xml:space="preserve"> anafilaksinis šokas.</w:t>
      </w:r>
    </w:p>
    <w:p w:rsidR="00712AA7" w:rsidRPr="0042105E" w:rsidRDefault="00712AA7" w:rsidP="00712AA7">
      <w:pPr>
        <w:pStyle w:val="EMEABodyText"/>
      </w:pPr>
    </w:p>
    <w:p w:rsidR="00712AA7" w:rsidRPr="00871FC6" w:rsidRDefault="00712AA7" w:rsidP="00712AA7">
      <w:pPr>
        <w:pStyle w:val="EMEABodyText"/>
        <w:keepNext/>
        <w:rPr>
          <w:i/>
          <w:iCs/>
          <w:color w:val="000000"/>
          <w:szCs w:val="22"/>
        </w:rPr>
      </w:pPr>
      <w:r w:rsidRPr="00871FC6">
        <w:rPr>
          <w:i/>
          <w:iCs/>
          <w:noProof/>
          <w:snapToGrid w:val="0"/>
          <w:szCs w:val="22"/>
        </w:rPr>
        <w:t>Šalutinio poveikio reiškiniai, kurių dažnis nežinomas (negali būti apskaičiuotas pagal turimus duomenis):</w:t>
      </w:r>
    </w:p>
    <w:p w:rsidR="00712AA7" w:rsidRPr="00B92CD7"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B92CD7">
        <w:rPr>
          <w:rFonts w:eastAsia="Times New Roman"/>
          <w:snapToGrid/>
          <w:color w:val="000000"/>
          <w:szCs w:val="22"/>
          <w:lang w:val="lt-LT" w:eastAsia="zh-CN"/>
        </w:rPr>
        <w:t>sujaudinimas, nerimas, nemiga, sutrikusi orientacija ar haliucinacijos (matoma, girdima arba užuodžiama tai, ko nėra);</w:t>
      </w:r>
    </w:p>
    <w:p w:rsidR="00712AA7" w:rsidRPr="005541AA"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atminties ar dėmesio sutelkimo sutrikimai, ypač senyviems žmonėms;</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mieguistumas, ypač pradedant vartoti šio vaist</w:t>
      </w:r>
      <w:r w:rsidRPr="006A041B">
        <w:rPr>
          <w:rFonts w:eastAsia="Times New Roman"/>
          <w:snapToGrid/>
          <w:color w:val="000000"/>
          <w:szCs w:val="22"/>
          <w:lang w:val="lt-LT" w:eastAsia="zh-CN"/>
        </w:rPr>
        <w:t>o;</w:t>
      </w:r>
    </w:p>
    <w:p w:rsidR="00712AA7" w:rsidRPr="00B92CD7"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galvos s</w:t>
      </w:r>
      <w:r>
        <w:rPr>
          <w:rFonts w:eastAsia="Times New Roman"/>
          <w:snapToGrid/>
          <w:color w:val="000000"/>
          <w:szCs w:val="22"/>
          <w:lang w:val="lt-LT" w:eastAsia="zh-CN"/>
        </w:rPr>
        <w:t>vaigimas</w:t>
      </w:r>
      <w:r w:rsidRPr="006A041B">
        <w:rPr>
          <w:rFonts w:eastAsia="Times New Roman"/>
          <w:snapToGrid/>
          <w:color w:val="000000"/>
          <w:szCs w:val="22"/>
          <w:lang w:val="lt-LT" w:eastAsia="zh-CN"/>
        </w:rPr>
        <w:t xml:space="preserve"> (</w:t>
      </w:r>
      <w:r w:rsidRPr="00871FC6">
        <w:rPr>
          <w:rFonts w:eastAsia="Times New Roman"/>
          <w:i/>
          <w:snapToGrid/>
          <w:color w:val="000000"/>
          <w:szCs w:val="22"/>
          <w:lang w:val="lt-LT" w:eastAsia="zh-CN"/>
        </w:rPr>
        <w:t>vertigo</w:t>
      </w:r>
      <w:r w:rsidRPr="00B92CD7">
        <w:rPr>
          <w:rFonts w:eastAsia="Times New Roman"/>
          <w:snapToGrid/>
          <w:color w:val="000000"/>
          <w:szCs w:val="22"/>
          <w:lang w:val="lt-LT" w:eastAsia="zh-CN"/>
        </w:rPr>
        <w:t>), drebulys;</w:t>
      </w:r>
    </w:p>
    <w:p w:rsidR="00712AA7" w:rsidRPr="005541AA"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pusiausvyros ar koordinacijos sutrikimai;</w:t>
      </w:r>
    </w:p>
    <w:p w:rsidR="00712AA7" w:rsidRPr="005541AA"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neaiškus matymas, vyzdžio išsiplėtimas (dėl jo pasireiškia šviesos baimė), padidėjęs akispūdis;</w:t>
      </w:r>
    </w:p>
    <w:p w:rsidR="00712AA7" w:rsidRPr="005541AA"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galvos svaigimas ar alpimas atsistojus iš sėdimos ar gulimos padėties;</w:t>
      </w:r>
    </w:p>
    <w:p w:rsidR="00712AA7" w:rsidRPr="005541AA"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5541AA">
        <w:rPr>
          <w:rFonts w:eastAsia="Times New Roman"/>
          <w:snapToGrid/>
          <w:color w:val="000000"/>
          <w:szCs w:val="22"/>
          <w:lang w:val="lt-LT" w:eastAsia="zh-CN"/>
        </w:rPr>
        <w:t>sausa gleivinė;</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šlapimo susilaikymas;</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šlapimo akmenys (vartojant daugiau kaip 1 g askorbo rūgšties per parą);</w:t>
      </w:r>
    </w:p>
    <w:p w:rsidR="00712AA7" w:rsidRPr="006A041B" w:rsidRDefault="00712AA7" w:rsidP="00712AA7">
      <w:pPr>
        <w:pStyle w:val="ListParagraph"/>
        <w:numPr>
          <w:ilvl w:val="0"/>
          <w:numId w:val="2"/>
        </w:numPr>
        <w:tabs>
          <w:tab w:val="clear" w:pos="567"/>
        </w:tabs>
        <w:spacing w:line="240" w:lineRule="auto"/>
        <w:ind w:left="567" w:hanging="567"/>
        <w:rPr>
          <w:rFonts w:eastAsia="Times New Roman"/>
          <w:snapToGrid/>
          <w:color w:val="000000"/>
          <w:szCs w:val="22"/>
          <w:lang w:val="lt-LT" w:eastAsia="zh-CN"/>
        </w:rPr>
      </w:pPr>
      <w:r w:rsidRPr="006A041B">
        <w:rPr>
          <w:rFonts w:eastAsia="Times New Roman"/>
          <w:snapToGrid/>
          <w:color w:val="000000"/>
          <w:szCs w:val="22"/>
          <w:lang w:val="lt-LT" w:eastAsia="zh-CN"/>
        </w:rPr>
        <w:t>padidėjęs lėtinis raudonųjų kraujo kūnelių irimas žmonėms, kurių organizme trūksta gliukozės 6-fosfato dehidrogenazės.</w:t>
      </w:r>
    </w:p>
    <w:p w:rsidR="00712AA7" w:rsidRPr="0079162D" w:rsidRDefault="00712AA7" w:rsidP="00712AA7">
      <w:pPr>
        <w:pStyle w:val="ListParagraph"/>
        <w:numPr>
          <w:ilvl w:val="0"/>
          <w:numId w:val="2"/>
        </w:numPr>
        <w:tabs>
          <w:tab w:val="clear" w:pos="567"/>
        </w:tabs>
        <w:spacing w:line="240" w:lineRule="auto"/>
        <w:ind w:left="567" w:hanging="567"/>
        <w:rPr>
          <w:color w:val="000000"/>
          <w:szCs w:val="22"/>
        </w:rPr>
      </w:pPr>
      <w:r w:rsidRPr="0079162D">
        <w:rPr>
          <w:rFonts w:eastAsia="Times New Roman"/>
          <w:snapToGrid/>
          <w:color w:val="000000"/>
          <w:szCs w:val="22"/>
          <w:lang w:val="lt-LT" w:eastAsia="zh-CN"/>
        </w:rPr>
        <w:t>krešėjimo sutrikimai;</w:t>
      </w:r>
    </w:p>
    <w:p w:rsidR="00712AA7" w:rsidRPr="0079162D" w:rsidRDefault="00712AA7" w:rsidP="00712AA7">
      <w:pPr>
        <w:pStyle w:val="ListParagraph"/>
        <w:numPr>
          <w:ilvl w:val="0"/>
          <w:numId w:val="2"/>
        </w:numPr>
        <w:tabs>
          <w:tab w:val="clear" w:pos="567"/>
        </w:tabs>
        <w:spacing w:line="240" w:lineRule="auto"/>
        <w:ind w:left="567" w:hanging="567"/>
        <w:rPr>
          <w:color w:val="000000"/>
          <w:szCs w:val="22"/>
        </w:rPr>
      </w:pPr>
      <w:r w:rsidRPr="0079162D">
        <w:rPr>
          <w:rFonts w:eastAsia="Times New Roman"/>
          <w:snapToGrid/>
          <w:color w:val="000000"/>
          <w:szCs w:val="22"/>
          <w:lang w:val="lt-LT" w:eastAsia="zh-CN"/>
        </w:rPr>
        <w:t>glaukomos priepuolis polinkį turintiems asmenims;</w:t>
      </w:r>
    </w:p>
    <w:p w:rsidR="00712AA7" w:rsidRPr="0079162D" w:rsidRDefault="00712AA7" w:rsidP="00712AA7">
      <w:pPr>
        <w:pStyle w:val="ListParagraph"/>
        <w:numPr>
          <w:ilvl w:val="0"/>
          <w:numId w:val="2"/>
        </w:numPr>
        <w:tabs>
          <w:tab w:val="clear" w:pos="567"/>
        </w:tabs>
        <w:spacing w:line="240" w:lineRule="auto"/>
        <w:ind w:left="567" w:hanging="567"/>
        <w:rPr>
          <w:color w:val="000000"/>
          <w:szCs w:val="22"/>
        </w:rPr>
      </w:pPr>
      <w:r w:rsidRPr="0079162D">
        <w:rPr>
          <w:rFonts w:eastAsia="Times New Roman"/>
          <w:snapToGrid/>
          <w:color w:val="000000"/>
          <w:szCs w:val="22"/>
          <w:lang w:val="lt-LT" w:eastAsia="zh-CN"/>
        </w:rPr>
        <w:t>šlapimo takų sutrikimai (reikšmingas šlapimo kiekio sumažėjimas, pasunkėjęs šlapinimasis);</w:t>
      </w:r>
    </w:p>
    <w:p w:rsidR="00712AA7" w:rsidRPr="0079162D" w:rsidRDefault="00712AA7" w:rsidP="00712AA7">
      <w:pPr>
        <w:pStyle w:val="ListParagraph"/>
        <w:numPr>
          <w:ilvl w:val="0"/>
          <w:numId w:val="2"/>
        </w:numPr>
        <w:tabs>
          <w:tab w:val="clear" w:pos="567"/>
        </w:tabs>
        <w:spacing w:line="240" w:lineRule="auto"/>
        <w:ind w:left="567" w:hanging="567"/>
        <w:rPr>
          <w:color w:val="000000"/>
          <w:szCs w:val="22"/>
        </w:rPr>
      </w:pPr>
      <w:r w:rsidRPr="0079162D">
        <w:rPr>
          <w:rFonts w:eastAsia="Times New Roman"/>
          <w:snapToGrid/>
          <w:color w:val="000000"/>
          <w:szCs w:val="22"/>
          <w:lang w:val="lt-LT" w:eastAsia="zh-CN"/>
        </w:rPr>
        <w:t>sausa burna, regėjimo sutrikimai, vidurių užkietėjimas;</w:t>
      </w:r>
    </w:p>
    <w:p w:rsidR="00712AA7" w:rsidRPr="0079162D" w:rsidRDefault="00712AA7" w:rsidP="00712AA7">
      <w:pPr>
        <w:pStyle w:val="ListParagraph"/>
        <w:numPr>
          <w:ilvl w:val="0"/>
          <w:numId w:val="2"/>
        </w:numPr>
        <w:tabs>
          <w:tab w:val="clear" w:pos="567"/>
        </w:tabs>
        <w:spacing w:line="240" w:lineRule="auto"/>
        <w:ind w:left="567" w:hanging="567"/>
        <w:rPr>
          <w:color w:val="000000"/>
          <w:szCs w:val="22"/>
        </w:rPr>
      </w:pPr>
      <w:r w:rsidRPr="0079162D">
        <w:rPr>
          <w:rFonts w:eastAsia="Times New Roman"/>
          <w:snapToGrid/>
          <w:color w:val="000000"/>
          <w:szCs w:val="22"/>
          <w:lang w:val="lt-LT" w:eastAsia="zh-CN"/>
        </w:rPr>
        <w:t>sutrikusi atmintis, dėmesio sutelkimas ar orientacija, svaigulys (dažniau senyviems žmonėms);</w:t>
      </w:r>
    </w:p>
    <w:p w:rsidR="00712AA7" w:rsidRPr="0042105E" w:rsidRDefault="00712AA7" w:rsidP="00712AA7">
      <w:pPr>
        <w:pStyle w:val="ListParagraph"/>
        <w:numPr>
          <w:ilvl w:val="0"/>
          <w:numId w:val="2"/>
        </w:numPr>
        <w:tabs>
          <w:tab w:val="clear" w:pos="567"/>
        </w:tabs>
        <w:spacing w:line="240" w:lineRule="auto"/>
        <w:ind w:left="567" w:hanging="567"/>
        <w:rPr>
          <w:color w:val="000000"/>
          <w:szCs w:val="22"/>
        </w:rPr>
      </w:pPr>
      <w:r w:rsidRPr="0079162D">
        <w:rPr>
          <w:rFonts w:eastAsia="Times New Roman"/>
          <w:snapToGrid/>
          <w:color w:val="000000"/>
          <w:szCs w:val="22"/>
          <w:lang w:val="lt-LT" w:eastAsia="zh-CN"/>
        </w:rPr>
        <w:t>sutrikusi jud</w:t>
      </w:r>
      <w:r w:rsidRPr="0042105E">
        <w:rPr>
          <w:rFonts w:eastAsia="Times New Roman"/>
          <w:snapToGrid/>
          <w:color w:val="000000"/>
          <w:szCs w:val="22"/>
          <w:lang w:val="lt-LT" w:eastAsia="zh-CN"/>
        </w:rPr>
        <w:t>esių koordinacija, drebulys;</w:t>
      </w:r>
    </w:p>
    <w:p w:rsidR="00712AA7" w:rsidRPr="0042105E" w:rsidRDefault="00712AA7" w:rsidP="00712AA7">
      <w:pPr>
        <w:pStyle w:val="ListParagraph"/>
        <w:numPr>
          <w:ilvl w:val="0"/>
          <w:numId w:val="2"/>
        </w:numPr>
        <w:tabs>
          <w:tab w:val="clear" w:pos="567"/>
        </w:tabs>
        <w:spacing w:line="240" w:lineRule="auto"/>
        <w:ind w:left="567" w:hanging="567"/>
        <w:rPr>
          <w:color w:val="000000"/>
          <w:szCs w:val="22"/>
        </w:rPr>
      </w:pPr>
      <w:r w:rsidRPr="0042105E">
        <w:rPr>
          <w:rFonts w:eastAsia="Times New Roman"/>
          <w:snapToGrid/>
          <w:color w:val="000000"/>
          <w:szCs w:val="22"/>
          <w:lang w:val="lt-LT" w:eastAsia="zh-CN"/>
        </w:rPr>
        <w:t>mieguistumas, sumažėjęs budrumas, ypač pradedant gydymą;</w:t>
      </w:r>
    </w:p>
    <w:p w:rsidR="00712AA7" w:rsidRPr="00871FC6" w:rsidRDefault="00712AA7" w:rsidP="00712AA7">
      <w:pPr>
        <w:pStyle w:val="ListParagraph"/>
        <w:numPr>
          <w:ilvl w:val="0"/>
          <w:numId w:val="2"/>
        </w:numPr>
        <w:tabs>
          <w:tab w:val="clear" w:pos="567"/>
        </w:tabs>
        <w:spacing w:line="240" w:lineRule="auto"/>
        <w:ind w:left="567" w:hanging="567"/>
        <w:rPr>
          <w:color w:val="000000"/>
          <w:szCs w:val="22"/>
        </w:rPr>
      </w:pPr>
      <w:r w:rsidRPr="0042105E">
        <w:rPr>
          <w:rFonts w:eastAsia="Times New Roman"/>
          <w:snapToGrid/>
          <w:color w:val="000000"/>
          <w:szCs w:val="22"/>
          <w:lang w:val="lt-LT" w:eastAsia="zh-CN"/>
        </w:rPr>
        <w:t>kraujospūdžio sumažėjimas pakeitus padėti į stovimą (gali svaigti galva).</w:t>
      </w:r>
    </w:p>
    <w:p w:rsidR="00712AA7" w:rsidRPr="00B92CD7" w:rsidRDefault="00712AA7" w:rsidP="00712AA7">
      <w:pPr>
        <w:pStyle w:val="EMEABodyText"/>
        <w:rPr>
          <w:i/>
          <w:iCs/>
          <w:u w:val="single"/>
        </w:rPr>
      </w:pPr>
    </w:p>
    <w:p w:rsidR="00712AA7" w:rsidRPr="005541AA" w:rsidRDefault="00712AA7" w:rsidP="00712AA7">
      <w:pPr>
        <w:pStyle w:val="EMEABodyText"/>
        <w:rPr>
          <w:i/>
          <w:iCs/>
          <w:u w:val="single"/>
        </w:rPr>
      </w:pPr>
      <w:r w:rsidRPr="00B92CD7">
        <w:rPr>
          <w:i/>
          <w:iCs/>
          <w:u w:val="single"/>
        </w:rPr>
        <w:t>Susiję su askorbo rūgštimi</w:t>
      </w:r>
    </w:p>
    <w:p w:rsidR="00712AA7" w:rsidRPr="005541AA" w:rsidRDefault="00712AA7" w:rsidP="00712AA7">
      <w:pPr>
        <w:pStyle w:val="EMEABodyText"/>
        <w:keepNext/>
        <w:rPr>
          <w:i/>
          <w:iCs/>
          <w:color w:val="000000"/>
          <w:szCs w:val="22"/>
        </w:rPr>
      </w:pPr>
      <w:r w:rsidRPr="005541AA">
        <w:rPr>
          <w:i/>
          <w:iCs/>
          <w:noProof/>
          <w:snapToGrid w:val="0"/>
          <w:szCs w:val="22"/>
        </w:rPr>
        <w:t>Šalutinio poveikio reiškiniai, kurių dažnis nežinomas (negali būti apskaičiuotas pagal turimus duomenis):</w:t>
      </w:r>
    </w:p>
    <w:p w:rsidR="00712AA7" w:rsidRPr="005541AA" w:rsidRDefault="00712AA7" w:rsidP="00712AA7">
      <w:pPr>
        <w:pStyle w:val="EMEABodyTextIndent"/>
        <w:numPr>
          <w:ilvl w:val="0"/>
          <w:numId w:val="3"/>
        </w:numPr>
        <w:tabs>
          <w:tab w:val="num" w:pos="0"/>
        </w:tabs>
        <w:suppressAutoHyphens w:val="0"/>
        <w:ind w:left="567" w:hanging="567"/>
        <w:rPr>
          <w:color w:val="000000"/>
          <w:szCs w:val="22"/>
        </w:rPr>
      </w:pPr>
      <w:r w:rsidRPr="005541AA">
        <w:rPr>
          <w:color w:val="000000"/>
          <w:szCs w:val="22"/>
        </w:rPr>
        <w:t>šlapimo akmenys (vartojant daugiau kaip 1 g askorbo rūgšties per parą);</w:t>
      </w:r>
    </w:p>
    <w:p w:rsidR="00712AA7" w:rsidRPr="006A041B" w:rsidRDefault="00712AA7" w:rsidP="00712AA7">
      <w:pPr>
        <w:pStyle w:val="EMEABodyTextIndent"/>
        <w:numPr>
          <w:ilvl w:val="0"/>
          <w:numId w:val="3"/>
        </w:numPr>
        <w:tabs>
          <w:tab w:val="num" w:pos="0"/>
        </w:tabs>
        <w:suppressAutoHyphens w:val="0"/>
        <w:ind w:left="567" w:hanging="567"/>
        <w:rPr>
          <w:i/>
          <w:iCs/>
        </w:rPr>
      </w:pPr>
      <w:r w:rsidRPr="006A041B">
        <w:rPr>
          <w:color w:val="000000"/>
          <w:szCs w:val="22"/>
        </w:rPr>
        <w:t>padidėjęs lėtinis raudonųjų kraujo kūnelių irimas žmonėms, kurių organizme trūksta gliukozės 6-fosfato dehidrogenazės.</w:t>
      </w:r>
    </w:p>
    <w:p w:rsidR="00712AA7" w:rsidRPr="00871FC6" w:rsidRDefault="00712AA7" w:rsidP="00712AA7">
      <w:pPr>
        <w:spacing w:line="240" w:lineRule="auto"/>
        <w:rPr>
          <w:color w:val="000000"/>
        </w:rPr>
      </w:pPr>
    </w:p>
    <w:p w:rsidR="00712AA7" w:rsidRPr="00B92CD7" w:rsidRDefault="00712AA7" w:rsidP="00712AA7">
      <w:pPr>
        <w:spacing w:line="240" w:lineRule="auto"/>
        <w:ind w:right="-2"/>
        <w:rPr>
          <w:color w:val="000000"/>
          <w:lang w:val="lt-LT"/>
        </w:rPr>
      </w:pPr>
    </w:p>
    <w:p w:rsidR="00712AA7" w:rsidRPr="005541AA" w:rsidRDefault="00712AA7" w:rsidP="00712AA7">
      <w:pPr>
        <w:spacing w:line="240" w:lineRule="auto"/>
        <w:ind w:right="-2"/>
        <w:rPr>
          <w:rFonts w:eastAsia="Times New Roman"/>
          <w:color w:val="000000"/>
          <w:lang w:val="lt-LT" w:eastAsia="zh-CN"/>
        </w:rPr>
      </w:pPr>
      <w:r w:rsidRPr="00B92CD7">
        <w:rPr>
          <w:b/>
          <w:bCs/>
          <w:color w:val="000000"/>
          <w:lang w:val="lt-LT"/>
        </w:rPr>
        <w:t>Pranešimas apie šalutinį poveikį</w:t>
      </w:r>
    </w:p>
    <w:p w:rsidR="00712AA7" w:rsidRPr="003602F1" w:rsidRDefault="00712AA7" w:rsidP="00712AA7">
      <w:pPr>
        <w:ind w:right="-1"/>
        <w:rPr>
          <w:lang w:val="lt-LT"/>
        </w:rPr>
      </w:pPr>
      <w:r w:rsidRPr="003602F1">
        <w:rPr>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3602F1">
          <w:rPr>
            <w:color w:val="0000FF"/>
            <w:u w:val="single"/>
            <w:lang w:val="lt-LT"/>
          </w:rPr>
          <w:t>https://vapris.vvkt.lt/vvkt-web/public/nrv</w:t>
        </w:r>
      </w:hyperlink>
      <w:r w:rsidRPr="003602F1">
        <w:rPr>
          <w:lang w:val="lt-LT"/>
        </w:rPr>
        <w:t xml:space="preserve"> arba užpildant Paciento pranešimo apie įtariamą nepageidaujamą reakciją (ĮNR) formą, kuri skelbiama </w:t>
      </w:r>
      <w:hyperlink r:id="rId6" w:history="1">
        <w:r w:rsidRPr="003602F1">
          <w:rPr>
            <w:color w:val="0000FF"/>
            <w:u w:val="single"/>
            <w:lang w:val="lt-LT"/>
          </w:rPr>
          <w:t>https://www.vvkt.lt/index.php?4004286486</w:t>
        </w:r>
      </w:hyperlink>
      <w:r w:rsidRPr="003602F1">
        <w:rPr>
          <w:lang w:val="lt-LT"/>
        </w:rPr>
        <w:t xml:space="preserve">, ir atsiunčiant elektroniniu paštu (adresu </w:t>
      </w:r>
      <w:hyperlink r:id="rId7" w:history="1">
        <w:r w:rsidRPr="003602F1">
          <w:rPr>
            <w:color w:val="0000FF"/>
            <w:u w:val="single"/>
            <w:lang w:val="lt-LT"/>
          </w:rPr>
          <w:t>NepageidaujamaR@vvkt.lt</w:t>
        </w:r>
      </w:hyperlink>
      <w:r w:rsidRPr="003602F1">
        <w:rPr>
          <w:lang w:val="lt-LT"/>
        </w:rPr>
        <w:t>) arba nemokamu telefonu 8 800 73 568. Pranešdami apie šalutinį poveikį galite mums padėti gauti daugiau informacijos apie šio vaisto saugumą.</w:t>
      </w:r>
    </w:p>
    <w:p w:rsidR="00712AA7" w:rsidRPr="00340FB4" w:rsidRDefault="00712AA7" w:rsidP="00712AA7">
      <w:pPr>
        <w:suppressAutoHyphens/>
        <w:spacing w:line="240" w:lineRule="auto"/>
        <w:rPr>
          <w:rFonts w:eastAsia="Times New Roman"/>
          <w:color w:val="000000"/>
          <w:lang w:val="lt-LT" w:eastAsia="zh-CN"/>
        </w:rPr>
      </w:pPr>
    </w:p>
    <w:p w:rsidR="00712AA7" w:rsidRPr="005541AA" w:rsidRDefault="00712AA7" w:rsidP="00712AA7">
      <w:pPr>
        <w:suppressAutoHyphens/>
        <w:spacing w:line="240" w:lineRule="auto"/>
        <w:rPr>
          <w:rFonts w:eastAsia="Times New Roman"/>
          <w:color w:val="000000"/>
          <w:lang w:val="lt-LT" w:eastAsia="zh-CN"/>
        </w:rPr>
      </w:pPr>
    </w:p>
    <w:p w:rsidR="00712AA7" w:rsidRPr="005541AA" w:rsidRDefault="00712AA7" w:rsidP="00712AA7">
      <w:pPr>
        <w:keepNext/>
        <w:numPr>
          <w:ilvl w:val="1"/>
          <w:numId w:val="0"/>
        </w:numPr>
        <w:tabs>
          <w:tab w:val="num" w:pos="0"/>
        </w:tabs>
        <w:suppressAutoHyphens/>
        <w:spacing w:line="240" w:lineRule="auto"/>
        <w:ind w:left="576" w:hanging="576"/>
        <w:outlineLvl w:val="1"/>
        <w:rPr>
          <w:rFonts w:eastAsia="Times New Roman"/>
          <w:b/>
          <w:color w:val="000000"/>
          <w:lang w:val="lt-LT" w:eastAsia="zh-CN"/>
        </w:rPr>
      </w:pPr>
      <w:r w:rsidRPr="005541AA">
        <w:rPr>
          <w:rFonts w:eastAsia="Times New Roman"/>
          <w:b/>
          <w:color w:val="000000"/>
          <w:lang w:val="lt-LT" w:eastAsia="zh-CN"/>
        </w:rPr>
        <w:t>5.</w:t>
      </w:r>
      <w:r w:rsidRPr="005541AA">
        <w:rPr>
          <w:rFonts w:eastAsia="Times New Roman"/>
          <w:b/>
          <w:color w:val="000000"/>
          <w:lang w:val="lt-LT" w:eastAsia="zh-CN"/>
        </w:rPr>
        <w:tab/>
        <w:t>Kaip laikyti FERVEX</w:t>
      </w:r>
    </w:p>
    <w:p w:rsidR="00712AA7" w:rsidRPr="005541AA" w:rsidRDefault="00712AA7" w:rsidP="00712AA7">
      <w:pPr>
        <w:suppressAutoHyphens/>
        <w:spacing w:line="240" w:lineRule="auto"/>
        <w:rPr>
          <w:rFonts w:eastAsia="Times New Roman"/>
          <w:color w:val="000000"/>
          <w:lang w:val="lt-LT" w:eastAsia="zh-CN"/>
        </w:rPr>
      </w:pPr>
    </w:p>
    <w:p w:rsidR="00712AA7" w:rsidRPr="005541AA" w:rsidRDefault="00712AA7" w:rsidP="00712AA7">
      <w:pPr>
        <w:suppressAutoHyphens/>
        <w:spacing w:line="240" w:lineRule="auto"/>
        <w:rPr>
          <w:rFonts w:eastAsia="Times New Roman"/>
          <w:color w:val="000000"/>
          <w:lang w:val="lt-LT" w:eastAsia="zh-CN"/>
        </w:rPr>
      </w:pPr>
      <w:r w:rsidRPr="005541AA">
        <w:rPr>
          <w:rFonts w:eastAsia="Times New Roman"/>
          <w:color w:val="000000"/>
          <w:lang w:val="lt-LT" w:eastAsia="zh-CN"/>
        </w:rPr>
        <w:t>Šį vaistą laikykite vaikams nepastebimoje ir nepasiekiamoje vietoje.</w:t>
      </w:r>
    </w:p>
    <w:p w:rsidR="00712AA7" w:rsidRPr="006A041B" w:rsidRDefault="00712AA7" w:rsidP="00712AA7">
      <w:pPr>
        <w:suppressAutoHyphens/>
        <w:spacing w:line="240" w:lineRule="auto"/>
        <w:rPr>
          <w:rFonts w:eastAsia="Times New Roman"/>
          <w:color w:val="000000"/>
          <w:lang w:val="lt-LT" w:eastAsia="zh-CN"/>
        </w:rPr>
      </w:pPr>
    </w:p>
    <w:p w:rsidR="00712AA7" w:rsidRPr="006A041B" w:rsidRDefault="00712AA7" w:rsidP="00712AA7">
      <w:pPr>
        <w:suppressAutoHyphens/>
        <w:spacing w:line="240" w:lineRule="auto"/>
        <w:rPr>
          <w:rFonts w:eastAsia="Times New Roman"/>
          <w:color w:val="000000"/>
          <w:lang w:val="lt-LT" w:eastAsia="zh-CN"/>
        </w:rPr>
      </w:pPr>
      <w:r w:rsidRPr="006A041B">
        <w:rPr>
          <w:rFonts w:eastAsia="Times New Roman"/>
          <w:color w:val="000000"/>
          <w:lang w:val="lt-LT" w:eastAsia="zh-CN"/>
        </w:rPr>
        <w:t>Laikyti ne aukštesnėje kaip 25 </w:t>
      </w:r>
      <w:r w:rsidRPr="006A041B">
        <w:rPr>
          <w:rFonts w:eastAsia="Times New Roman"/>
          <w:lang w:val="lt-LT" w:eastAsia="zh-CN"/>
        </w:rPr>
        <w:t>º</w:t>
      </w:r>
      <w:r w:rsidRPr="006A041B">
        <w:rPr>
          <w:rFonts w:eastAsia="Times New Roman"/>
          <w:color w:val="000000"/>
          <w:lang w:val="lt-LT" w:eastAsia="zh-CN"/>
        </w:rPr>
        <w:t>C temperatūroje.</w:t>
      </w:r>
    </w:p>
    <w:p w:rsidR="00712AA7" w:rsidRPr="0079162D" w:rsidRDefault="00712AA7" w:rsidP="00712AA7">
      <w:pPr>
        <w:suppressAutoHyphens/>
        <w:spacing w:line="240" w:lineRule="auto"/>
        <w:rPr>
          <w:rFonts w:eastAsia="Times New Roman"/>
          <w:color w:val="000000"/>
          <w:lang w:val="lt-LT" w:eastAsia="zh-CN"/>
        </w:rPr>
      </w:pPr>
    </w:p>
    <w:p w:rsidR="00712AA7" w:rsidRPr="0079162D" w:rsidRDefault="00712AA7" w:rsidP="00712AA7">
      <w:pPr>
        <w:suppressAutoHyphens/>
        <w:spacing w:line="240" w:lineRule="auto"/>
        <w:rPr>
          <w:rFonts w:eastAsia="Times New Roman"/>
          <w:color w:val="000000"/>
          <w:lang w:val="lt-LT" w:eastAsia="zh-CN"/>
        </w:rPr>
      </w:pPr>
      <w:r w:rsidRPr="0079162D">
        <w:rPr>
          <w:rFonts w:eastAsia="Times New Roman"/>
          <w:color w:val="000000"/>
          <w:lang w:val="lt-LT" w:eastAsia="zh-CN"/>
        </w:rPr>
        <w:t>Ant dėžutės arba paketėlio po „</w:t>
      </w:r>
      <w:r>
        <w:rPr>
          <w:rFonts w:eastAsia="Times New Roman"/>
          <w:color w:val="000000"/>
          <w:lang w:val="lt-LT" w:eastAsia="zh-CN"/>
        </w:rPr>
        <w:t>EXP</w:t>
      </w:r>
      <w:r w:rsidRPr="0079162D">
        <w:rPr>
          <w:rFonts w:eastAsia="Times New Roman"/>
          <w:color w:val="000000"/>
          <w:lang w:val="lt-LT" w:eastAsia="zh-CN"/>
        </w:rPr>
        <w:t>“ nurodytam tinkamumo laikui pasibaigus, šio vaisto vartoti negalima. Vaistas tinkamas vartoti iki paskutinės nurodyto mėnesio dienos.</w:t>
      </w:r>
    </w:p>
    <w:p w:rsidR="00712AA7" w:rsidRPr="0079162D" w:rsidRDefault="00712AA7" w:rsidP="00712AA7">
      <w:pPr>
        <w:suppressAutoHyphens/>
        <w:spacing w:line="240" w:lineRule="auto"/>
        <w:rPr>
          <w:rFonts w:eastAsia="Times New Roman"/>
          <w:color w:val="000000"/>
          <w:lang w:val="lt-LT" w:eastAsia="zh-CN"/>
        </w:rPr>
      </w:pPr>
    </w:p>
    <w:p w:rsidR="00712AA7" w:rsidRPr="0079162D" w:rsidRDefault="00712AA7" w:rsidP="00712AA7">
      <w:pPr>
        <w:suppressAutoHyphens/>
        <w:spacing w:line="240" w:lineRule="auto"/>
        <w:rPr>
          <w:rFonts w:eastAsia="Times New Roman"/>
          <w:color w:val="000000"/>
          <w:lang w:val="lt-LT" w:eastAsia="zh-CN"/>
        </w:rPr>
      </w:pPr>
      <w:r w:rsidRPr="0079162D">
        <w:rPr>
          <w:rFonts w:eastAsia="Times New Roman"/>
          <w:color w:val="000000"/>
          <w:lang w:val="lt-LT" w:eastAsia="zh-CN"/>
        </w:rPr>
        <w:t>Vaistų negalima išmesti į kanalizaciją arba su buitinėmis atliekomis. Kaip išmesti nereikalingus vaistus, klauskite vaistininko. Šios priemonės padės apsaugoti aplinką.</w:t>
      </w:r>
    </w:p>
    <w:p w:rsidR="00712AA7" w:rsidRPr="0079162D" w:rsidRDefault="00712AA7" w:rsidP="00712AA7">
      <w:pPr>
        <w:suppressAutoHyphens/>
        <w:spacing w:line="240" w:lineRule="auto"/>
        <w:ind w:right="-2"/>
        <w:rPr>
          <w:rFonts w:eastAsia="Times New Roman"/>
          <w:b/>
          <w:color w:val="000000"/>
          <w:lang w:val="lt-LT" w:eastAsia="zh-CN"/>
        </w:rPr>
      </w:pPr>
    </w:p>
    <w:p w:rsidR="00712AA7" w:rsidRPr="0079162D" w:rsidRDefault="00712AA7" w:rsidP="00712AA7">
      <w:pPr>
        <w:suppressAutoHyphens/>
        <w:spacing w:line="240" w:lineRule="auto"/>
        <w:ind w:right="-2"/>
        <w:rPr>
          <w:rFonts w:eastAsia="Times New Roman"/>
          <w:b/>
          <w:color w:val="000000"/>
          <w:lang w:val="lt-LT" w:eastAsia="zh-CN"/>
        </w:rPr>
      </w:pPr>
    </w:p>
    <w:p w:rsidR="00712AA7" w:rsidRPr="0079162D" w:rsidRDefault="00712AA7" w:rsidP="00712AA7">
      <w:pPr>
        <w:keepNext/>
        <w:numPr>
          <w:ilvl w:val="1"/>
          <w:numId w:val="0"/>
        </w:numPr>
        <w:tabs>
          <w:tab w:val="num" w:pos="0"/>
        </w:tabs>
        <w:suppressAutoHyphens/>
        <w:spacing w:line="240" w:lineRule="auto"/>
        <w:ind w:left="576" w:hanging="576"/>
        <w:outlineLvl w:val="1"/>
        <w:rPr>
          <w:rFonts w:eastAsia="Times New Roman"/>
          <w:b/>
          <w:color w:val="000000"/>
          <w:lang w:val="lt-LT" w:eastAsia="zh-CN"/>
        </w:rPr>
      </w:pPr>
      <w:r w:rsidRPr="0079162D">
        <w:rPr>
          <w:rFonts w:eastAsia="Times New Roman"/>
          <w:b/>
          <w:color w:val="000000"/>
          <w:lang w:val="lt-LT" w:eastAsia="zh-CN"/>
        </w:rPr>
        <w:t>6.</w:t>
      </w:r>
      <w:r w:rsidRPr="0079162D">
        <w:rPr>
          <w:rFonts w:eastAsia="Times New Roman"/>
          <w:b/>
          <w:color w:val="000000"/>
          <w:lang w:val="lt-LT" w:eastAsia="zh-CN"/>
        </w:rPr>
        <w:tab/>
        <w:t>Pakuotės turinys ir kita informacija</w:t>
      </w:r>
    </w:p>
    <w:p w:rsidR="00712AA7" w:rsidRPr="0079162D" w:rsidRDefault="00712AA7" w:rsidP="00712AA7">
      <w:pPr>
        <w:suppressAutoHyphens/>
        <w:spacing w:line="240" w:lineRule="auto"/>
        <w:ind w:right="-2"/>
        <w:rPr>
          <w:rFonts w:eastAsia="Times New Roman"/>
          <w:color w:val="000000"/>
          <w:lang w:val="lt-LT" w:eastAsia="zh-CN"/>
        </w:rPr>
      </w:pPr>
    </w:p>
    <w:p w:rsidR="00712AA7" w:rsidRPr="0079162D" w:rsidRDefault="00712AA7" w:rsidP="00712AA7">
      <w:pPr>
        <w:keepNext/>
        <w:numPr>
          <w:ilvl w:val="2"/>
          <w:numId w:val="0"/>
        </w:numPr>
        <w:tabs>
          <w:tab w:val="num" w:pos="0"/>
        </w:tabs>
        <w:suppressAutoHyphens/>
        <w:spacing w:line="240" w:lineRule="auto"/>
        <w:ind w:left="720" w:hanging="720"/>
        <w:outlineLvl w:val="2"/>
        <w:rPr>
          <w:rFonts w:eastAsia="Times New Roman"/>
          <w:b/>
          <w:color w:val="000000"/>
          <w:lang w:val="lt-LT" w:eastAsia="zh-CN"/>
        </w:rPr>
      </w:pPr>
      <w:r w:rsidRPr="0079162D">
        <w:rPr>
          <w:rFonts w:eastAsia="Times New Roman"/>
          <w:b/>
          <w:color w:val="000000"/>
          <w:lang w:val="lt-LT" w:eastAsia="zh-CN"/>
        </w:rPr>
        <w:t>FERVEX sudėtis</w:t>
      </w:r>
    </w:p>
    <w:p w:rsidR="00712AA7" w:rsidRPr="0042105E" w:rsidRDefault="00712AA7" w:rsidP="00712AA7">
      <w:pPr>
        <w:tabs>
          <w:tab w:val="left" w:pos="8931"/>
        </w:tabs>
        <w:suppressAutoHyphens/>
        <w:spacing w:line="240" w:lineRule="auto"/>
        <w:ind w:left="567" w:hanging="567"/>
        <w:rPr>
          <w:rFonts w:eastAsia="Times New Roman"/>
          <w:color w:val="000000"/>
          <w:lang w:val="lt-LT" w:eastAsia="zh-CN"/>
        </w:rPr>
      </w:pPr>
      <w:r w:rsidRPr="0079162D">
        <w:rPr>
          <w:rFonts w:eastAsia="Times New Roman"/>
          <w:color w:val="000000"/>
          <w:lang w:val="lt-LT" w:eastAsia="zh-CN"/>
        </w:rPr>
        <w:t>-</w:t>
      </w:r>
      <w:r w:rsidRPr="0079162D">
        <w:rPr>
          <w:rFonts w:eastAsia="Times New Roman"/>
          <w:color w:val="000000"/>
          <w:lang w:val="lt-LT" w:eastAsia="zh-CN"/>
        </w:rPr>
        <w:tab/>
        <w:t>Veikliosios medžiagos yra paracetamolis, feniramino maleatas ir askorbo rūgštis.</w:t>
      </w:r>
      <w:r w:rsidRPr="0079162D">
        <w:rPr>
          <w:rFonts w:eastAsia="Times New Roman"/>
          <w:lang w:val="lt-LT" w:eastAsia="zh-CN"/>
        </w:rPr>
        <w:t xml:space="preserve"> Viename paketėlyje yra 280 mg paracetamolio, 10 mg feniramino maleato, 100 mg askorbo rūgšties.</w:t>
      </w:r>
    </w:p>
    <w:p w:rsidR="00712AA7" w:rsidRPr="00B92CD7" w:rsidRDefault="00712AA7" w:rsidP="00712AA7">
      <w:r w:rsidRPr="0042105E">
        <w:rPr>
          <w:rFonts w:eastAsia="Times New Roman"/>
          <w:color w:val="000000"/>
          <w:lang w:val="lt-LT" w:eastAsia="zh-CN"/>
        </w:rPr>
        <w:t>-</w:t>
      </w:r>
      <w:r w:rsidRPr="0042105E">
        <w:rPr>
          <w:rFonts w:eastAsia="Times New Roman"/>
          <w:color w:val="000000"/>
          <w:lang w:val="lt-LT" w:eastAsia="zh-CN"/>
        </w:rPr>
        <w:tab/>
        <w:t xml:space="preserve">Pagalbinės medžiagos yra manitolis </w:t>
      </w:r>
      <w:r w:rsidRPr="0042105E">
        <w:rPr>
          <w:lang w:val="lv-LV"/>
        </w:rPr>
        <w:t>(E421)</w:t>
      </w:r>
      <w:r w:rsidRPr="0042105E">
        <w:rPr>
          <w:rFonts w:eastAsia="Times New Roman"/>
          <w:color w:val="000000"/>
          <w:lang w:val="lt-LT" w:eastAsia="zh-CN"/>
        </w:rPr>
        <w:t>, bevandenė citrinų rūgštis, povidonas, bevandenis magnio citratas, kalio acesulfamas, natrio benzoatas (E202), aviečių skonio</w:t>
      </w:r>
      <w:r w:rsidRPr="00864D02">
        <w:rPr>
          <w:rFonts w:eastAsia="Times New Roman"/>
          <w:color w:val="000000"/>
          <w:lang w:val="lt-LT" w:eastAsia="zh-CN"/>
        </w:rPr>
        <w:t xml:space="preserve"> medžiaga (sudėtyje yra saulėlydžio geltonojo FCF (E110), alura raudonojo AC (E129</w:t>
      </w:r>
      <w:r w:rsidRPr="00C754A5">
        <w:rPr>
          <w:rFonts w:eastAsia="Times New Roman"/>
          <w:color w:val="000000"/>
          <w:lang w:val="lt-LT" w:eastAsia="zh-CN"/>
        </w:rPr>
        <w:t>), benzilo alkoholio, etanolio</w:t>
      </w:r>
      <w:r>
        <w:rPr>
          <w:rFonts w:eastAsia="Times New Roman"/>
          <w:color w:val="000000"/>
          <w:lang w:val="lt-LT" w:eastAsia="zh-CN"/>
        </w:rPr>
        <w:t>)</w:t>
      </w:r>
      <w:r w:rsidRPr="00C754A5">
        <w:rPr>
          <w:rFonts w:eastAsia="Times New Roman"/>
          <w:color w:val="000000"/>
          <w:lang w:val="lt-LT" w:eastAsia="zh-CN"/>
        </w:rPr>
        <w:t>.</w:t>
      </w:r>
    </w:p>
    <w:p w:rsidR="00712AA7" w:rsidRPr="00B92CD7" w:rsidRDefault="00712AA7" w:rsidP="00712AA7">
      <w:pPr>
        <w:tabs>
          <w:tab w:val="left" w:pos="8931"/>
        </w:tabs>
        <w:suppressAutoHyphens/>
        <w:spacing w:line="240" w:lineRule="auto"/>
        <w:ind w:right="-2"/>
        <w:rPr>
          <w:rFonts w:eastAsia="Times New Roman"/>
          <w:color w:val="000000"/>
          <w:lang w:val="lt-LT" w:eastAsia="zh-CN"/>
        </w:rPr>
      </w:pPr>
    </w:p>
    <w:p w:rsidR="00712AA7" w:rsidRPr="00B92CD7" w:rsidRDefault="00712AA7" w:rsidP="00712AA7">
      <w:pPr>
        <w:keepNext/>
        <w:numPr>
          <w:ilvl w:val="2"/>
          <w:numId w:val="0"/>
        </w:numPr>
        <w:tabs>
          <w:tab w:val="num" w:pos="0"/>
          <w:tab w:val="left" w:pos="8931"/>
        </w:tabs>
        <w:suppressAutoHyphens/>
        <w:spacing w:line="240" w:lineRule="auto"/>
        <w:ind w:left="720" w:hanging="720"/>
        <w:outlineLvl w:val="2"/>
        <w:rPr>
          <w:rFonts w:eastAsia="Times New Roman"/>
          <w:b/>
          <w:color w:val="000000"/>
          <w:lang w:val="lt-LT" w:eastAsia="zh-CN"/>
        </w:rPr>
      </w:pPr>
      <w:r w:rsidRPr="00B92CD7">
        <w:rPr>
          <w:rFonts w:eastAsia="Times New Roman"/>
          <w:b/>
          <w:color w:val="000000"/>
          <w:lang w:val="lt-LT" w:eastAsia="zh-CN"/>
        </w:rPr>
        <w:t>FERVEX išvaizda ir kiekis pakuotėje</w:t>
      </w:r>
    </w:p>
    <w:p w:rsidR="00712AA7" w:rsidRPr="00B92CD7" w:rsidRDefault="00712AA7" w:rsidP="00712AA7">
      <w:pPr>
        <w:tabs>
          <w:tab w:val="left" w:pos="8931"/>
        </w:tabs>
        <w:suppressAutoHyphens/>
        <w:spacing w:line="240" w:lineRule="auto"/>
        <w:rPr>
          <w:rFonts w:eastAsia="Times New Roman"/>
          <w:color w:val="000000"/>
          <w:lang w:val="lt-LT" w:eastAsia="zh-CN"/>
        </w:rPr>
      </w:pPr>
      <w:r w:rsidRPr="00B92CD7">
        <w:rPr>
          <w:rFonts w:eastAsia="Times New Roman"/>
          <w:color w:val="000000"/>
          <w:lang w:val="lt-LT" w:eastAsia="zh-CN"/>
        </w:rPr>
        <w:t>Granuliuoti milteliai. Spalva gali būti nuo šviesiai iki ryškiai rožinės, gali būti tamsių smulkių dėmelių.</w:t>
      </w:r>
    </w:p>
    <w:p w:rsidR="00712AA7" w:rsidRPr="00B92CD7" w:rsidRDefault="00712AA7" w:rsidP="00712AA7">
      <w:pPr>
        <w:tabs>
          <w:tab w:val="left" w:pos="8931"/>
        </w:tabs>
        <w:suppressAutoHyphens/>
        <w:spacing w:line="240" w:lineRule="auto"/>
        <w:rPr>
          <w:rFonts w:eastAsia="Times New Roman"/>
          <w:color w:val="000000"/>
          <w:lang w:val="lt-LT" w:eastAsia="zh-CN"/>
        </w:rPr>
      </w:pPr>
      <w:r w:rsidRPr="00B92CD7">
        <w:rPr>
          <w:rFonts w:eastAsia="Times New Roman"/>
          <w:color w:val="000000"/>
          <w:lang w:val="lt-LT" w:eastAsia="zh-CN"/>
        </w:rPr>
        <w:t>Vaistas tiekimas supakuotas į paketėlius.</w:t>
      </w:r>
    </w:p>
    <w:p w:rsidR="00712AA7" w:rsidRPr="00B92CD7" w:rsidRDefault="00712AA7" w:rsidP="00712AA7">
      <w:pPr>
        <w:suppressAutoHyphens/>
        <w:spacing w:line="240" w:lineRule="auto"/>
        <w:rPr>
          <w:rFonts w:eastAsia="Times New Roman"/>
          <w:color w:val="000000"/>
          <w:lang w:val="lt-LT" w:eastAsia="zh-CN"/>
        </w:rPr>
      </w:pPr>
      <w:r w:rsidRPr="00B92CD7">
        <w:rPr>
          <w:rFonts w:eastAsia="Times New Roman"/>
          <w:color w:val="000000"/>
          <w:lang w:val="lt-LT" w:eastAsia="zh-CN"/>
        </w:rPr>
        <w:t>Dėžutėje yra 8 paketėliai.</w:t>
      </w:r>
    </w:p>
    <w:p w:rsidR="00712AA7" w:rsidRPr="00B92CD7" w:rsidRDefault="00712AA7" w:rsidP="00712AA7">
      <w:pPr>
        <w:suppressAutoHyphens/>
        <w:autoSpaceDE w:val="0"/>
        <w:spacing w:line="240" w:lineRule="auto"/>
        <w:rPr>
          <w:rFonts w:eastAsia="Times New Roman"/>
          <w:color w:val="000000"/>
          <w:lang w:val="lt-LT" w:eastAsia="zh-CN"/>
        </w:rPr>
      </w:pPr>
    </w:p>
    <w:p w:rsidR="00712AA7" w:rsidRPr="00B92CD7" w:rsidRDefault="00712AA7" w:rsidP="00712AA7">
      <w:pPr>
        <w:keepNext/>
        <w:numPr>
          <w:ilvl w:val="2"/>
          <w:numId w:val="0"/>
        </w:numPr>
        <w:tabs>
          <w:tab w:val="num" w:pos="0"/>
        </w:tabs>
        <w:suppressAutoHyphens/>
        <w:spacing w:line="240" w:lineRule="auto"/>
        <w:ind w:left="720" w:hanging="720"/>
        <w:outlineLvl w:val="2"/>
        <w:rPr>
          <w:rFonts w:eastAsia="Times New Roman"/>
          <w:color w:val="000000"/>
          <w:lang w:val="lt-LT" w:eastAsia="zh-CN"/>
        </w:rPr>
      </w:pPr>
      <w:r w:rsidRPr="00B92CD7">
        <w:rPr>
          <w:rFonts w:eastAsia="Times New Roman"/>
          <w:b/>
          <w:color w:val="000000"/>
          <w:lang w:val="lt-LT" w:eastAsia="zh-CN"/>
        </w:rPr>
        <w:t>Registruotojas ir gamintojas</w:t>
      </w:r>
    </w:p>
    <w:p w:rsidR="00712AA7" w:rsidRPr="00B92CD7" w:rsidRDefault="00712AA7" w:rsidP="00712AA7">
      <w:pPr>
        <w:suppressAutoHyphens/>
        <w:spacing w:line="240" w:lineRule="auto"/>
        <w:rPr>
          <w:rFonts w:eastAsia="Times New Roman"/>
          <w:i/>
          <w:color w:val="000000"/>
          <w:lang w:val="lt-LT" w:eastAsia="zh-CN"/>
        </w:rPr>
      </w:pPr>
    </w:p>
    <w:p w:rsidR="00712AA7" w:rsidRPr="00B92CD7" w:rsidRDefault="00712AA7" w:rsidP="00712AA7">
      <w:pPr>
        <w:suppressAutoHyphens/>
        <w:spacing w:line="240" w:lineRule="auto"/>
        <w:rPr>
          <w:rFonts w:eastAsia="Times New Roman"/>
          <w:i/>
          <w:color w:val="000000"/>
          <w:lang w:val="lt-LT" w:eastAsia="zh-CN"/>
        </w:rPr>
      </w:pPr>
      <w:r w:rsidRPr="00B92CD7">
        <w:rPr>
          <w:rFonts w:eastAsia="Times New Roman"/>
          <w:i/>
          <w:color w:val="000000"/>
          <w:lang w:val="lt-LT" w:eastAsia="zh-CN"/>
        </w:rPr>
        <w:t>Registruotojas</w:t>
      </w:r>
    </w:p>
    <w:p w:rsidR="00712AA7" w:rsidRPr="00B92CD7" w:rsidRDefault="00712AA7" w:rsidP="00712AA7">
      <w:pPr>
        <w:spacing w:line="240" w:lineRule="auto"/>
        <w:rPr>
          <w:lang w:val="lt-LT"/>
        </w:rPr>
      </w:pPr>
      <w:r w:rsidRPr="00B92CD7">
        <w:rPr>
          <w:lang w:val="lt-LT"/>
        </w:rPr>
        <w:t>UPSA SAS</w:t>
      </w:r>
    </w:p>
    <w:p w:rsidR="00712AA7" w:rsidRPr="00B92CD7" w:rsidRDefault="00712AA7" w:rsidP="00712AA7">
      <w:pPr>
        <w:spacing w:line="240" w:lineRule="auto"/>
        <w:rPr>
          <w:lang w:val="lt-LT"/>
        </w:rPr>
      </w:pPr>
      <w:r w:rsidRPr="00B92CD7">
        <w:rPr>
          <w:lang w:val="lt-LT"/>
        </w:rPr>
        <w:t>3, rue Joseph Monier</w:t>
      </w:r>
    </w:p>
    <w:p w:rsidR="00712AA7" w:rsidRPr="00B92CD7" w:rsidRDefault="00712AA7" w:rsidP="00712AA7">
      <w:pPr>
        <w:spacing w:line="240" w:lineRule="auto"/>
        <w:rPr>
          <w:lang w:val="lt-LT"/>
        </w:rPr>
      </w:pPr>
      <w:r w:rsidRPr="00B92CD7">
        <w:rPr>
          <w:lang w:val="lt-LT"/>
        </w:rPr>
        <w:t>92500 Rueil-Malmaison</w:t>
      </w:r>
    </w:p>
    <w:p w:rsidR="00712AA7" w:rsidRPr="00B92CD7" w:rsidRDefault="00712AA7" w:rsidP="00712AA7">
      <w:pPr>
        <w:suppressAutoHyphens/>
        <w:spacing w:line="240" w:lineRule="auto"/>
        <w:rPr>
          <w:lang w:val="lt-LT"/>
        </w:rPr>
      </w:pPr>
      <w:r w:rsidRPr="00B92CD7">
        <w:rPr>
          <w:lang w:val="lt-LT"/>
        </w:rPr>
        <w:t>Prancūzija</w:t>
      </w:r>
    </w:p>
    <w:p w:rsidR="00712AA7" w:rsidRPr="00B92CD7" w:rsidRDefault="00712AA7" w:rsidP="00712AA7">
      <w:pPr>
        <w:suppressAutoHyphens/>
        <w:spacing w:line="240" w:lineRule="auto"/>
        <w:rPr>
          <w:rFonts w:eastAsia="Times New Roman"/>
          <w:color w:val="000000"/>
          <w:lang w:val="lt-LT" w:eastAsia="zh-CN"/>
        </w:rPr>
      </w:pPr>
    </w:p>
    <w:p w:rsidR="00712AA7" w:rsidRPr="00B92CD7" w:rsidRDefault="00712AA7" w:rsidP="00712AA7">
      <w:pPr>
        <w:suppressAutoHyphens/>
        <w:spacing w:line="240" w:lineRule="auto"/>
        <w:rPr>
          <w:rFonts w:eastAsia="Times New Roman"/>
          <w:i/>
          <w:color w:val="000000"/>
          <w:lang w:val="lt-LT" w:eastAsia="zh-CN"/>
        </w:rPr>
      </w:pPr>
      <w:r w:rsidRPr="00B92CD7">
        <w:rPr>
          <w:rFonts w:eastAsia="Times New Roman"/>
          <w:i/>
          <w:color w:val="000000"/>
          <w:lang w:val="lt-LT" w:eastAsia="zh-CN"/>
        </w:rPr>
        <w:t>Gamintojas</w:t>
      </w:r>
    </w:p>
    <w:p w:rsidR="00712AA7" w:rsidRPr="00B92CD7" w:rsidRDefault="00712AA7" w:rsidP="00712AA7">
      <w:pPr>
        <w:suppressAutoHyphens/>
        <w:spacing w:line="240" w:lineRule="auto"/>
        <w:rPr>
          <w:rFonts w:eastAsia="Times New Roman"/>
          <w:lang w:val="lt-LT" w:eastAsia="zh-CN"/>
        </w:rPr>
      </w:pPr>
      <w:r w:rsidRPr="00B92CD7">
        <w:rPr>
          <w:rFonts w:eastAsia="Times New Roman"/>
          <w:lang w:val="lt-LT" w:eastAsia="zh-CN"/>
        </w:rPr>
        <w:t>UPSA SAS</w:t>
      </w:r>
    </w:p>
    <w:p w:rsidR="00712AA7" w:rsidRPr="00B92CD7" w:rsidRDefault="00712AA7" w:rsidP="00712AA7">
      <w:pPr>
        <w:suppressAutoHyphens/>
        <w:spacing w:line="240" w:lineRule="auto"/>
        <w:rPr>
          <w:rFonts w:eastAsia="Times New Roman"/>
          <w:lang w:val="lt-LT" w:eastAsia="zh-CN" w:bidi="lo-LA"/>
        </w:rPr>
      </w:pPr>
      <w:r w:rsidRPr="00B92CD7">
        <w:rPr>
          <w:rFonts w:eastAsia="Times New Roman"/>
          <w:lang w:val="lt-LT" w:eastAsia="zh-CN" w:bidi="lo-LA"/>
        </w:rPr>
        <w:t>304, avenue du Docteur Jean Bru</w:t>
      </w:r>
    </w:p>
    <w:p w:rsidR="00712AA7" w:rsidRPr="00B92CD7" w:rsidRDefault="00712AA7" w:rsidP="00712AA7">
      <w:pPr>
        <w:suppressAutoHyphens/>
        <w:spacing w:line="240" w:lineRule="auto"/>
        <w:rPr>
          <w:rFonts w:eastAsia="Times New Roman"/>
          <w:lang w:val="lt-LT" w:eastAsia="zh-CN" w:bidi="lo-LA"/>
        </w:rPr>
      </w:pPr>
      <w:r w:rsidRPr="00B92CD7">
        <w:rPr>
          <w:rFonts w:eastAsia="Times New Roman"/>
          <w:lang w:val="lt-LT" w:eastAsia="zh-CN" w:bidi="lo-LA"/>
        </w:rPr>
        <w:t>47000 Agen</w:t>
      </w:r>
    </w:p>
    <w:p w:rsidR="00712AA7" w:rsidRPr="00B92CD7" w:rsidRDefault="00712AA7" w:rsidP="00712AA7">
      <w:pPr>
        <w:suppressAutoHyphens/>
        <w:spacing w:line="240" w:lineRule="auto"/>
        <w:rPr>
          <w:rFonts w:eastAsia="Times New Roman"/>
          <w:lang w:val="lt-LT" w:eastAsia="zh-CN" w:bidi="lo-LA"/>
        </w:rPr>
      </w:pPr>
      <w:r w:rsidRPr="00B92CD7">
        <w:rPr>
          <w:rFonts w:eastAsia="Times New Roman"/>
          <w:lang w:val="lt-LT" w:eastAsia="zh-CN" w:bidi="lo-LA"/>
        </w:rPr>
        <w:t>Prancūzija</w:t>
      </w:r>
    </w:p>
    <w:p w:rsidR="00712AA7" w:rsidRPr="00B92CD7" w:rsidRDefault="00712AA7" w:rsidP="00712AA7">
      <w:pPr>
        <w:suppressAutoHyphens/>
        <w:spacing w:line="240" w:lineRule="auto"/>
        <w:rPr>
          <w:rFonts w:eastAsia="Times New Roman"/>
          <w:lang w:val="lt-LT" w:eastAsia="zh-CN" w:bidi="lo-LA"/>
        </w:rPr>
      </w:pPr>
    </w:p>
    <w:p w:rsidR="00712AA7" w:rsidRPr="00B92CD7" w:rsidRDefault="00712AA7" w:rsidP="00712AA7">
      <w:pPr>
        <w:suppressAutoHyphens/>
        <w:spacing w:line="240" w:lineRule="auto"/>
        <w:rPr>
          <w:rFonts w:eastAsia="Times New Roman"/>
          <w:lang w:val="lt-LT" w:eastAsia="zh-CN" w:bidi="lo-LA"/>
        </w:rPr>
      </w:pPr>
      <w:r w:rsidRPr="00B92CD7">
        <w:rPr>
          <w:rFonts w:eastAsia="Times New Roman"/>
          <w:lang w:val="lt-LT" w:eastAsia="zh-CN" w:bidi="lo-LA"/>
        </w:rPr>
        <w:t>arba</w:t>
      </w:r>
    </w:p>
    <w:p w:rsidR="00712AA7" w:rsidRPr="00B92CD7" w:rsidRDefault="00712AA7" w:rsidP="00712AA7">
      <w:pPr>
        <w:suppressAutoHyphens/>
        <w:spacing w:line="240" w:lineRule="auto"/>
        <w:rPr>
          <w:rFonts w:eastAsia="Times New Roman"/>
          <w:lang w:val="lt-LT" w:eastAsia="zh-CN"/>
        </w:rPr>
      </w:pPr>
    </w:p>
    <w:p w:rsidR="00712AA7" w:rsidRPr="00B92CD7" w:rsidRDefault="00712AA7" w:rsidP="00712AA7">
      <w:pPr>
        <w:suppressAutoHyphens/>
        <w:spacing w:line="240" w:lineRule="auto"/>
        <w:rPr>
          <w:rFonts w:eastAsia="Times New Roman"/>
          <w:lang w:val="lt-LT" w:eastAsia="zh-CN"/>
        </w:rPr>
      </w:pPr>
      <w:r w:rsidRPr="00B92CD7">
        <w:rPr>
          <w:rFonts w:eastAsia="Times New Roman"/>
          <w:lang w:val="lt-LT" w:eastAsia="zh-CN"/>
        </w:rPr>
        <w:t>UPSA SAS</w:t>
      </w:r>
    </w:p>
    <w:p w:rsidR="00712AA7" w:rsidRPr="00B92CD7" w:rsidRDefault="00712AA7" w:rsidP="00712AA7">
      <w:pPr>
        <w:suppressAutoHyphens/>
        <w:spacing w:line="240" w:lineRule="auto"/>
        <w:rPr>
          <w:rFonts w:eastAsia="Times New Roman"/>
          <w:lang w:val="lt-LT" w:eastAsia="zh-CN"/>
        </w:rPr>
      </w:pPr>
      <w:r w:rsidRPr="00B92CD7">
        <w:rPr>
          <w:rFonts w:eastAsia="Times New Roman"/>
          <w:lang w:val="lt-LT" w:eastAsia="zh-CN"/>
        </w:rPr>
        <w:t>979, Avenue des Pyrénées</w:t>
      </w:r>
    </w:p>
    <w:p w:rsidR="00712AA7" w:rsidRPr="00B92CD7" w:rsidRDefault="00712AA7" w:rsidP="00712AA7">
      <w:pPr>
        <w:suppressAutoHyphens/>
        <w:spacing w:line="240" w:lineRule="auto"/>
        <w:rPr>
          <w:rFonts w:eastAsia="Times New Roman"/>
          <w:lang w:val="lt-LT" w:eastAsia="zh-CN"/>
        </w:rPr>
      </w:pPr>
      <w:r w:rsidRPr="00B92CD7">
        <w:rPr>
          <w:rFonts w:eastAsia="Times New Roman"/>
          <w:lang w:val="lt-LT" w:eastAsia="zh-CN"/>
        </w:rPr>
        <w:t>47520 Le Passage</w:t>
      </w:r>
    </w:p>
    <w:p w:rsidR="00712AA7" w:rsidRPr="00B92CD7" w:rsidRDefault="00712AA7" w:rsidP="00712AA7">
      <w:pPr>
        <w:suppressAutoHyphens/>
        <w:spacing w:line="240" w:lineRule="auto"/>
        <w:ind w:right="-2"/>
        <w:jc w:val="both"/>
        <w:rPr>
          <w:rFonts w:eastAsia="Times New Roman"/>
          <w:lang w:val="lt-LT" w:eastAsia="zh-CN" w:bidi="lo-LA"/>
        </w:rPr>
      </w:pPr>
      <w:r w:rsidRPr="00B92CD7">
        <w:rPr>
          <w:rFonts w:eastAsia="Times New Roman"/>
          <w:lang w:val="lt-LT" w:eastAsia="zh-CN" w:bidi="lo-LA"/>
        </w:rPr>
        <w:t>Prancūzija</w:t>
      </w:r>
    </w:p>
    <w:p w:rsidR="00712AA7" w:rsidRPr="00B92CD7" w:rsidRDefault="00712AA7" w:rsidP="00712AA7">
      <w:pPr>
        <w:suppressAutoHyphens/>
        <w:spacing w:line="240" w:lineRule="auto"/>
        <w:ind w:right="-2"/>
        <w:jc w:val="both"/>
        <w:rPr>
          <w:rFonts w:eastAsia="Times New Roman"/>
          <w:color w:val="000000"/>
          <w:lang w:val="lt-LT" w:eastAsia="zh-CN"/>
        </w:rPr>
      </w:pPr>
    </w:p>
    <w:p w:rsidR="00712AA7" w:rsidRPr="00B92CD7" w:rsidRDefault="00712AA7" w:rsidP="00712AA7">
      <w:pPr>
        <w:suppressAutoHyphens/>
        <w:spacing w:line="240" w:lineRule="auto"/>
        <w:jc w:val="both"/>
        <w:rPr>
          <w:rFonts w:eastAsia="Times New Roman"/>
          <w:color w:val="000000"/>
          <w:lang w:val="lt-LT" w:eastAsia="zh-CN"/>
        </w:rPr>
      </w:pPr>
      <w:r w:rsidRPr="00B92CD7">
        <w:rPr>
          <w:rFonts w:eastAsia="Times New Roman"/>
          <w:color w:val="000000"/>
          <w:lang w:val="lt-LT" w:eastAsia="zh-CN"/>
        </w:rPr>
        <w:t>Jeigu apie šį vaistą norite sužinoti daugiau, kreipkitės į vietinį registruotojo atstovą.</w:t>
      </w:r>
    </w:p>
    <w:p w:rsidR="00712AA7" w:rsidRPr="00B92CD7" w:rsidRDefault="00712AA7" w:rsidP="00712AA7">
      <w:pPr>
        <w:suppressAutoHyphens/>
        <w:spacing w:line="240" w:lineRule="auto"/>
        <w:jc w:val="both"/>
        <w:rPr>
          <w:rFonts w:eastAsia="Times New Roman"/>
          <w:color w:val="000000"/>
          <w:lang w:val="lt-LT" w:eastAsia="zh-CN"/>
        </w:rPr>
      </w:pPr>
    </w:p>
    <w:p w:rsidR="00712AA7" w:rsidRPr="00B92CD7" w:rsidRDefault="00712AA7" w:rsidP="00712AA7">
      <w:pPr>
        <w:suppressAutoHyphens/>
        <w:spacing w:line="240" w:lineRule="auto"/>
        <w:rPr>
          <w:rFonts w:eastAsia="Times New Roman"/>
          <w:lang w:val="lt-LT" w:eastAsia="zh-CN"/>
        </w:rPr>
      </w:pPr>
      <w:r w:rsidRPr="00B92CD7">
        <w:rPr>
          <w:rFonts w:eastAsia="Times New Roman"/>
          <w:lang w:val="lt-LT" w:eastAsia="zh-CN"/>
        </w:rPr>
        <w:t>UAB „Swixx Biopharma“</w:t>
      </w:r>
    </w:p>
    <w:p w:rsidR="00712AA7" w:rsidRPr="00B92CD7" w:rsidRDefault="00712AA7" w:rsidP="00712AA7">
      <w:pPr>
        <w:suppressAutoHyphens/>
        <w:spacing w:line="240" w:lineRule="auto"/>
        <w:rPr>
          <w:rFonts w:eastAsia="Times New Roman"/>
          <w:lang w:val="lt-LT" w:eastAsia="zh-CN"/>
        </w:rPr>
      </w:pPr>
      <w:r w:rsidRPr="00B92CD7">
        <w:rPr>
          <w:rFonts w:eastAsia="Times New Roman"/>
          <w:lang w:val="lt-LT" w:eastAsia="zh-CN"/>
        </w:rPr>
        <w:t>Bokšto 1-3, Vilnius LT-01126, Lietuva</w:t>
      </w:r>
    </w:p>
    <w:p w:rsidR="00712AA7" w:rsidRPr="00B92CD7" w:rsidRDefault="00712AA7" w:rsidP="00712AA7">
      <w:pPr>
        <w:spacing w:line="240" w:lineRule="auto"/>
        <w:rPr>
          <w:lang w:val="lt-LT"/>
        </w:rPr>
      </w:pPr>
      <w:r w:rsidRPr="00B92CD7">
        <w:rPr>
          <w:rFonts w:eastAsia="Times New Roman"/>
          <w:lang w:val="lt-LT" w:eastAsia="zh-CN"/>
        </w:rPr>
        <w:t>Tel. +370 52 369140</w:t>
      </w:r>
    </w:p>
    <w:p w:rsidR="00712AA7" w:rsidRPr="00B92CD7" w:rsidRDefault="00712AA7" w:rsidP="00712AA7">
      <w:pPr>
        <w:suppressAutoHyphens/>
        <w:spacing w:line="240" w:lineRule="auto"/>
        <w:jc w:val="both"/>
        <w:rPr>
          <w:rFonts w:eastAsia="Times New Roman"/>
          <w:b/>
          <w:color w:val="000000"/>
          <w:lang w:val="lt-LT" w:eastAsia="zh-CN"/>
        </w:rPr>
      </w:pPr>
    </w:p>
    <w:p w:rsidR="00712AA7" w:rsidRPr="00B92CD7" w:rsidRDefault="00712AA7" w:rsidP="00712AA7">
      <w:pPr>
        <w:suppressAutoHyphens/>
        <w:spacing w:line="240" w:lineRule="auto"/>
        <w:rPr>
          <w:color w:val="000000"/>
          <w:lang w:val="lt-LT"/>
        </w:rPr>
      </w:pPr>
      <w:r w:rsidRPr="00B92CD7">
        <w:rPr>
          <w:rFonts w:eastAsia="Times New Roman"/>
          <w:b/>
          <w:bCs/>
          <w:color w:val="000000"/>
          <w:lang w:val="lt-LT" w:eastAsia="zh-CN"/>
        </w:rPr>
        <w:t>Šis pakuotės lapelis</w:t>
      </w:r>
      <w:r w:rsidRPr="00B92CD7">
        <w:rPr>
          <w:rFonts w:eastAsia="Times New Roman"/>
          <w:b/>
          <w:color w:val="000000"/>
          <w:lang w:val="lt-LT" w:eastAsia="zh-CN"/>
        </w:rPr>
        <w:t xml:space="preserve"> paskutinį kartą peržiūrėtas </w:t>
      </w:r>
      <w:r>
        <w:rPr>
          <w:rFonts w:eastAsia="Times New Roman"/>
          <w:b/>
          <w:color w:val="000000"/>
          <w:lang w:val="lt-LT" w:eastAsia="zh-CN"/>
        </w:rPr>
        <w:t>2022-08-16.</w:t>
      </w:r>
    </w:p>
    <w:p w:rsidR="00712AA7" w:rsidRPr="00B92CD7" w:rsidRDefault="00712AA7" w:rsidP="00712AA7">
      <w:pPr>
        <w:suppressAutoHyphens/>
        <w:spacing w:line="240" w:lineRule="auto"/>
        <w:rPr>
          <w:rFonts w:eastAsia="Times New Roman"/>
          <w:color w:val="000000"/>
          <w:lang w:val="lt-LT" w:eastAsia="zh-CN"/>
        </w:rPr>
      </w:pPr>
    </w:p>
    <w:p w:rsidR="00712AA7" w:rsidRDefault="00712AA7" w:rsidP="00712AA7">
      <w:pPr>
        <w:suppressAutoHyphens/>
        <w:spacing w:line="240" w:lineRule="auto"/>
        <w:rPr>
          <w:rFonts w:eastAsia="Times New Roman"/>
          <w:iCs/>
          <w:color w:val="0000FF"/>
          <w:u w:val="single"/>
          <w:lang w:val="lt-LT" w:eastAsia="zh-CN" w:bidi="lo-LA"/>
        </w:rPr>
      </w:pPr>
      <w:r w:rsidRPr="00B92CD7">
        <w:rPr>
          <w:lang w:val="lt-LT"/>
        </w:rPr>
        <w:t xml:space="preserve">Išsami informacija apie šį </w:t>
      </w:r>
      <w:r w:rsidRPr="00B92CD7">
        <w:rPr>
          <w:szCs w:val="24"/>
          <w:lang w:val="lt-LT"/>
        </w:rPr>
        <w:t>vaistą</w:t>
      </w:r>
      <w:r w:rsidRPr="00B92CD7">
        <w:rPr>
          <w:lang w:val="lt-LT"/>
        </w:rPr>
        <w:t xml:space="preserve"> pateikiama Valstybinės vaistų kontrolės tarnybos prie Lietuvos Respublikos sveikatos apsaugos ministerijos tinklalapyje</w:t>
      </w:r>
      <w:r w:rsidRPr="00B92CD7">
        <w:rPr>
          <w:rFonts w:eastAsia="Times New Roman"/>
          <w:iCs/>
          <w:lang w:val="lt-LT" w:eastAsia="zh-CN" w:bidi="lo-LA"/>
        </w:rPr>
        <w:t xml:space="preserve"> </w:t>
      </w:r>
      <w:hyperlink r:id="rId8" w:history="1">
        <w:r w:rsidRPr="00B92CD7">
          <w:rPr>
            <w:rFonts w:eastAsia="Times New Roman"/>
            <w:iCs/>
            <w:color w:val="0000FF"/>
            <w:u w:val="single"/>
            <w:lang w:val="lt-LT" w:eastAsia="zh-CN" w:bidi="lo-LA"/>
          </w:rPr>
          <w:t>http://www.vvkt.lt/</w:t>
        </w:r>
      </w:hyperlink>
    </w:p>
    <w:p w:rsidR="0098545B" w:rsidRDefault="0098545B"/>
    <w:sectPr w:rsidR="0098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7"/>
    <w:lvl w:ilvl="0">
      <w:start w:val="1"/>
      <w:numFmt w:val="bullet"/>
      <w:lvlText w:val="-"/>
      <w:lvlJc w:val="left"/>
      <w:pPr>
        <w:ind w:left="720" w:hanging="360"/>
      </w:pPr>
      <w:rPr>
        <w:rFonts w:ascii="OpenSymbol" w:hAnsi="OpenSymbol"/>
      </w:rPr>
    </w:lvl>
  </w:abstractNum>
  <w:abstractNum w:abstractNumId="1" w15:restartNumberingAfterBreak="0">
    <w:nsid w:val="26670055"/>
    <w:multiLevelType w:val="hybridMultilevel"/>
    <w:tmpl w:val="FC2E2C3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326F2"/>
    <w:multiLevelType w:val="hybridMultilevel"/>
    <w:tmpl w:val="A1862850"/>
    <w:lvl w:ilvl="0" w:tplc="65FE1CA0">
      <w:start w:val="1"/>
      <w:numFmt w:val="bullet"/>
      <w:lvlText w:val="-"/>
      <w:lvlJc w:val="left"/>
      <w:pPr>
        <w:ind w:left="1095" w:hanging="360"/>
      </w:pPr>
      <w:rPr>
        <w:rFonts w:ascii="Times New Roman" w:eastAsia="Times New Roman" w:hAnsi="Times New Roman" w:hint="default"/>
      </w:rPr>
    </w:lvl>
    <w:lvl w:ilvl="1" w:tplc="04270003" w:tentative="1">
      <w:start w:val="1"/>
      <w:numFmt w:val="bullet"/>
      <w:lvlText w:val="o"/>
      <w:lvlJc w:val="left"/>
      <w:pPr>
        <w:ind w:left="1815" w:hanging="360"/>
      </w:pPr>
      <w:rPr>
        <w:rFonts w:ascii="Courier New" w:hAnsi="Courier New" w:hint="default"/>
      </w:rPr>
    </w:lvl>
    <w:lvl w:ilvl="2" w:tplc="04270005" w:tentative="1">
      <w:start w:val="1"/>
      <w:numFmt w:val="bullet"/>
      <w:lvlText w:val=""/>
      <w:lvlJc w:val="left"/>
      <w:pPr>
        <w:ind w:left="2535" w:hanging="360"/>
      </w:pPr>
      <w:rPr>
        <w:rFonts w:ascii="Wingdings" w:hAnsi="Wingdings" w:hint="default"/>
      </w:rPr>
    </w:lvl>
    <w:lvl w:ilvl="3" w:tplc="04270001" w:tentative="1">
      <w:start w:val="1"/>
      <w:numFmt w:val="bullet"/>
      <w:lvlText w:val=""/>
      <w:lvlJc w:val="left"/>
      <w:pPr>
        <w:ind w:left="3255" w:hanging="360"/>
      </w:pPr>
      <w:rPr>
        <w:rFonts w:ascii="Symbol" w:hAnsi="Symbol" w:hint="default"/>
      </w:rPr>
    </w:lvl>
    <w:lvl w:ilvl="4" w:tplc="04270003" w:tentative="1">
      <w:start w:val="1"/>
      <w:numFmt w:val="bullet"/>
      <w:lvlText w:val="o"/>
      <w:lvlJc w:val="left"/>
      <w:pPr>
        <w:ind w:left="3975" w:hanging="360"/>
      </w:pPr>
      <w:rPr>
        <w:rFonts w:ascii="Courier New" w:hAnsi="Courier New" w:hint="default"/>
      </w:rPr>
    </w:lvl>
    <w:lvl w:ilvl="5" w:tplc="04270005" w:tentative="1">
      <w:start w:val="1"/>
      <w:numFmt w:val="bullet"/>
      <w:lvlText w:val=""/>
      <w:lvlJc w:val="left"/>
      <w:pPr>
        <w:ind w:left="4695" w:hanging="360"/>
      </w:pPr>
      <w:rPr>
        <w:rFonts w:ascii="Wingdings" w:hAnsi="Wingdings" w:hint="default"/>
      </w:rPr>
    </w:lvl>
    <w:lvl w:ilvl="6" w:tplc="04270001" w:tentative="1">
      <w:start w:val="1"/>
      <w:numFmt w:val="bullet"/>
      <w:lvlText w:val=""/>
      <w:lvlJc w:val="left"/>
      <w:pPr>
        <w:ind w:left="5415" w:hanging="360"/>
      </w:pPr>
      <w:rPr>
        <w:rFonts w:ascii="Symbol" w:hAnsi="Symbol" w:hint="default"/>
      </w:rPr>
    </w:lvl>
    <w:lvl w:ilvl="7" w:tplc="04270003" w:tentative="1">
      <w:start w:val="1"/>
      <w:numFmt w:val="bullet"/>
      <w:lvlText w:val="o"/>
      <w:lvlJc w:val="left"/>
      <w:pPr>
        <w:ind w:left="6135" w:hanging="360"/>
      </w:pPr>
      <w:rPr>
        <w:rFonts w:ascii="Courier New" w:hAnsi="Courier New" w:hint="default"/>
      </w:rPr>
    </w:lvl>
    <w:lvl w:ilvl="8" w:tplc="04270005" w:tentative="1">
      <w:start w:val="1"/>
      <w:numFmt w:val="bullet"/>
      <w:lvlText w:val=""/>
      <w:lvlJc w:val="left"/>
      <w:pPr>
        <w:ind w:left="6855" w:hanging="360"/>
      </w:pPr>
      <w:rPr>
        <w:rFonts w:ascii="Wingdings" w:hAnsi="Wingdings" w:hint="default"/>
      </w:rPr>
    </w:lvl>
  </w:abstractNum>
  <w:num w:numId="1" w16cid:durableId="171186721">
    <w:abstractNumId w:val="2"/>
  </w:num>
  <w:num w:numId="2" w16cid:durableId="491415234">
    <w:abstractNumId w:val="1"/>
  </w:num>
  <w:num w:numId="3" w16cid:durableId="214631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A7"/>
    <w:rsid w:val="00712AA7"/>
    <w:rsid w:val="0098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C3A9E-01CE-4C6C-8AE6-D97C3FD3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712AA7"/>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12AA7"/>
    <w:rPr>
      <w:rFonts w:ascii="Cambria" w:eastAsia="Times New Roman" w:hAnsi="Cambria" w:cs="Times New Roman"/>
      <w:b/>
      <w:bCs/>
      <w:snapToGrid w:val="0"/>
      <w:sz w:val="26"/>
      <w:szCs w:val="26"/>
      <w:lang w:val="en-GB" w:eastAsia="x-none"/>
    </w:rPr>
  </w:style>
  <w:style w:type="paragraph" w:styleId="ListParagraph">
    <w:name w:val="List Paragraph"/>
    <w:basedOn w:val="Normal"/>
    <w:uiPriority w:val="99"/>
    <w:qFormat/>
    <w:rsid w:val="00712AA7"/>
    <w:pPr>
      <w:tabs>
        <w:tab w:val="left" w:pos="567"/>
      </w:tabs>
      <w:spacing w:after="0" w:line="260" w:lineRule="exact"/>
      <w:ind w:left="720"/>
      <w:contextualSpacing/>
    </w:pPr>
    <w:rPr>
      <w:rFonts w:ascii="Times New Roman" w:eastAsia="Calibri" w:hAnsi="Times New Roman" w:cs="Times New Roman"/>
      <w:snapToGrid w:val="0"/>
      <w:szCs w:val="20"/>
      <w:lang w:val="en-GB"/>
    </w:rPr>
  </w:style>
  <w:style w:type="paragraph" w:styleId="BodyText">
    <w:name w:val="Body Text"/>
    <w:basedOn w:val="Normal"/>
    <w:link w:val="BodyTextChar1"/>
    <w:uiPriority w:val="99"/>
    <w:rsid w:val="00712AA7"/>
    <w:pPr>
      <w:suppressAutoHyphens/>
      <w:spacing w:after="120" w:line="240" w:lineRule="auto"/>
    </w:pPr>
    <w:rPr>
      <w:rFonts w:ascii="Times New Roman" w:eastAsia="Times New Roman" w:hAnsi="Times New Roman" w:cs="Times New Roman"/>
      <w:szCs w:val="20"/>
      <w:lang w:val="lt-LT" w:eastAsia="zh-CN"/>
    </w:rPr>
  </w:style>
  <w:style w:type="character" w:customStyle="1" w:styleId="BodyTextChar">
    <w:name w:val="Body Text Char"/>
    <w:basedOn w:val="DefaultParagraphFont"/>
    <w:uiPriority w:val="99"/>
    <w:semiHidden/>
    <w:rsid w:val="00712AA7"/>
  </w:style>
  <w:style w:type="character" w:customStyle="1" w:styleId="BodyTextChar1">
    <w:name w:val="Body Text Char1"/>
    <w:link w:val="BodyText"/>
    <w:uiPriority w:val="99"/>
    <w:locked/>
    <w:rsid w:val="00712AA7"/>
    <w:rPr>
      <w:rFonts w:ascii="Times New Roman" w:eastAsia="Times New Roman" w:hAnsi="Times New Roman" w:cs="Times New Roman"/>
      <w:szCs w:val="20"/>
      <w:lang w:val="lt-LT" w:eastAsia="zh-CN"/>
    </w:rPr>
  </w:style>
  <w:style w:type="paragraph" w:customStyle="1" w:styleId="AmmCorpsTexte">
    <w:name w:val="AmmCorpsTexte"/>
    <w:basedOn w:val="Normal"/>
    <w:link w:val="AmmCorpsTexteCar"/>
    <w:rsid w:val="00712AA7"/>
    <w:pPr>
      <w:spacing w:after="120" w:line="240" w:lineRule="auto"/>
      <w:jc w:val="both"/>
    </w:pPr>
    <w:rPr>
      <w:rFonts w:ascii="Arial" w:eastAsia="Times New Roman" w:hAnsi="Arial" w:cs="Times New Roman"/>
      <w:sz w:val="20"/>
      <w:szCs w:val="20"/>
      <w:lang w:val="fr-FR" w:eastAsia="fr-FR"/>
    </w:rPr>
  </w:style>
  <w:style w:type="character" w:customStyle="1" w:styleId="AmmCorpsTexteCar">
    <w:name w:val="AmmCorpsTexte Car"/>
    <w:link w:val="AmmCorpsTexte"/>
    <w:rsid w:val="00712AA7"/>
    <w:rPr>
      <w:rFonts w:ascii="Arial" w:eastAsia="Times New Roman" w:hAnsi="Arial" w:cs="Times New Roman"/>
      <w:sz w:val="20"/>
      <w:szCs w:val="20"/>
      <w:lang w:val="fr-FR" w:eastAsia="fr-FR"/>
    </w:rPr>
  </w:style>
  <w:style w:type="paragraph" w:customStyle="1" w:styleId="Default">
    <w:name w:val="Default"/>
    <w:rsid w:val="00712AA7"/>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EMEABodyTextIndent">
    <w:name w:val="EMEA Body Text Indent"/>
    <w:basedOn w:val="Normal"/>
    <w:next w:val="Normal"/>
    <w:uiPriority w:val="99"/>
    <w:rsid w:val="00712AA7"/>
    <w:pPr>
      <w:suppressAutoHyphens/>
      <w:spacing w:after="0" w:line="240" w:lineRule="auto"/>
    </w:pPr>
    <w:rPr>
      <w:rFonts w:ascii="Times New Roman" w:eastAsia="Times New Roman" w:hAnsi="Times New Roman" w:cs="Times New Roman"/>
      <w:szCs w:val="20"/>
      <w:lang w:val="lt-LT" w:eastAsia="zh-CN"/>
    </w:rPr>
  </w:style>
  <w:style w:type="paragraph" w:customStyle="1" w:styleId="AmmCorpsTexteGras">
    <w:name w:val="AmmCorpsTexteGras"/>
    <w:basedOn w:val="AmmCorpsTexte"/>
    <w:link w:val="AmmCorpsTexteGrasCar"/>
    <w:rsid w:val="00712AA7"/>
    <w:rPr>
      <w:b/>
      <w:bCs/>
    </w:rPr>
  </w:style>
  <w:style w:type="character" w:customStyle="1" w:styleId="AmmCorpsTexteGrasCar">
    <w:name w:val="AmmCorpsTexteGras Car"/>
    <w:link w:val="AmmCorpsTexteGras"/>
    <w:rsid w:val="00712AA7"/>
    <w:rPr>
      <w:rFonts w:ascii="Arial" w:eastAsia="Times New Roman" w:hAnsi="Arial" w:cs="Times New Roman"/>
      <w:b/>
      <w:bCs/>
      <w:sz w:val="20"/>
      <w:szCs w:val="20"/>
      <w:lang w:val="fr-FR" w:eastAsia="fr-FR"/>
    </w:rPr>
  </w:style>
  <w:style w:type="paragraph" w:customStyle="1" w:styleId="EMEABodyText">
    <w:name w:val="EMEA Body Text"/>
    <w:basedOn w:val="Normal"/>
    <w:uiPriority w:val="99"/>
    <w:rsid w:val="00712AA7"/>
    <w:pPr>
      <w:suppressAutoHyphens/>
      <w:spacing w:after="0" w:line="240" w:lineRule="auto"/>
    </w:pPr>
    <w:rPr>
      <w:rFonts w:ascii="Times New Roman" w:eastAsia="Times New Roman" w:hAnsi="Times New Roman" w:cs="Times New Roman"/>
      <w:szCs w:val="20"/>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2671</Words>
  <Characters>15231</Characters>
  <Application>Microsoft Office Word</Application>
  <DocSecurity>0</DocSecurity>
  <Lines>126</Lines>
  <Paragraphs>35</Paragraphs>
  <ScaleCrop>false</ScaleCrop>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2022-10-12T12:27:00Z</dcterms:created>
  <dcterms:modified xsi:type="dcterms:W3CDTF">2022-10-12T12:27:00Z</dcterms:modified>
</cp:coreProperties>
</file>